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charts/chart3.xml" ContentType="application/vnd.openxmlformats-officedocument.drawingml.chart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705" w:rsidRPr="004C5D45" w:rsidRDefault="005A7EC8">
      <w:pPr>
        <w:rPr>
          <w:rFonts w:ascii="Muli" w:hAnsi="Muli"/>
          <w:b/>
        </w:rPr>
      </w:pPr>
      <w:r w:rsidRPr="004C5D45">
        <w:rPr>
          <w:rFonts w:ascii="Muli" w:hAnsi="Muli"/>
          <w:b/>
        </w:rPr>
        <w:t xml:space="preserve">Gender Pay Gap </w:t>
      </w:r>
      <w:r w:rsidR="004C5D45" w:rsidRPr="004C5D45">
        <w:rPr>
          <w:rFonts w:ascii="Muli" w:hAnsi="Muli"/>
          <w:b/>
        </w:rPr>
        <w:t xml:space="preserve">Report and </w:t>
      </w:r>
      <w:r w:rsidRPr="004C5D45">
        <w:rPr>
          <w:rFonts w:ascii="Muli" w:hAnsi="Muli"/>
          <w:b/>
        </w:rPr>
        <w:t>Analysis</w:t>
      </w:r>
    </w:p>
    <w:p w:rsidR="004C5D45" w:rsidRPr="004C5D45" w:rsidRDefault="004C5D45" w:rsidP="004C5D45">
      <w:pPr>
        <w:pStyle w:val="Heading1"/>
      </w:pPr>
      <w:r w:rsidRPr="004C5D45">
        <w:t>Introduction</w:t>
      </w:r>
    </w:p>
    <w:p w:rsidR="005A7EC8" w:rsidRPr="004C5D45" w:rsidRDefault="005A7EC8">
      <w:pPr>
        <w:rPr>
          <w:rFonts w:ascii="Muli" w:hAnsi="Muli"/>
        </w:rPr>
      </w:pPr>
      <w:r w:rsidRPr="004C5D45">
        <w:rPr>
          <w:rFonts w:ascii="Muli" w:hAnsi="Muli"/>
        </w:rPr>
        <w:t xml:space="preserve">Westcountry Schools Trust </w:t>
      </w:r>
      <w:r w:rsidR="001F4104">
        <w:rPr>
          <w:rFonts w:ascii="Muli" w:hAnsi="Muli"/>
        </w:rPr>
        <w:t xml:space="preserve">(WeST) </w:t>
      </w:r>
      <w:r w:rsidRPr="004C5D45">
        <w:rPr>
          <w:rFonts w:ascii="Muli" w:hAnsi="Muli"/>
        </w:rPr>
        <w:t>is a growing Trust</w:t>
      </w:r>
      <w:r w:rsidR="00B60845" w:rsidRPr="004C5D45">
        <w:rPr>
          <w:rFonts w:ascii="Muli" w:hAnsi="Muli"/>
        </w:rPr>
        <w:t xml:space="preserve"> with the workforce growing by </w:t>
      </w:r>
      <w:r w:rsidR="00952BC7" w:rsidRPr="004C5D45">
        <w:rPr>
          <w:rFonts w:ascii="Muli" w:hAnsi="Muli"/>
        </w:rPr>
        <w:t xml:space="preserve">384% </w:t>
      </w:r>
      <w:r w:rsidR="001F0587" w:rsidRPr="004C5D45">
        <w:rPr>
          <w:rFonts w:ascii="Muli" w:hAnsi="Muli"/>
        </w:rPr>
        <w:t>since 2016</w:t>
      </w:r>
      <w:r w:rsidR="00D122ED" w:rsidRPr="004C5D45">
        <w:rPr>
          <w:rFonts w:ascii="Muli" w:hAnsi="Muli"/>
        </w:rPr>
        <w:t xml:space="preserve"> with continuing growth in 2019 and 2020</w:t>
      </w:r>
      <w:r w:rsidR="001F0587" w:rsidRPr="004C5D45">
        <w:rPr>
          <w:rFonts w:ascii="Muli" w:hAnsi="Muli"/>
        </w:rPr>
        <w:t>.</w:t>
      </w:r>
      <w:r w:rsidR="00D122ED" w:rsidRPr="004C5D45">
        <w:rPr>
          <w:rFonts w:ascii="Muli" w:hAnsi="Muli"/>
        </w:rPr>
        <w:t xml:space="preserve">  The Trust is committed to analysing its gender pay gap and developing strategy to address this where possible.  It is establishing a working group in order to assess the current position and develop a strategy for improving this over time.</w:t>
      </w:r>
    </w:p>
    <w:p w:rsidR="001F4104" w:rsidRDefault="005C245E">
      <w:pPr>
        <w:rPr>
          <w:rFonts w:ascii="Muli" w:hAnsi="Muli"/>
        </w:rPr>
      </w:pPr>
      <w:r w:rsidRPr="004C5D45">
        <w:rPr>
          <w:rFonts w:ascii="Muli" w:hAnsi="Muli"/>
        </w:rPr>
        <w:t>The state education sector is predominantly staffed by women</w:t>
      </w:r>
      <w:r w:rsidR="00D122ED" w:rsidRPr="004C5D45">
        <w:rPr>
          <w:rFonts w:ascii="Muli" w:hAnsi="Muli"/>
        </w:rPr>
        <w:t xml:space="preserve">.  Comparator data </w:t>
      </w:r>
      <w:r w:rsidR="004C5D45">
        <w:rPr>
          <w:rFonts w:ascii="Muli" w:hAnsi="Muli"/>
        </w:rPr>
        <w:t>has been provide</w:t>
      </w:r>
      <w:r w:rsidR="00B5421E">
        <w:rPr>
          <w:rFonts w:ascii="Muli" w:hAnsi="Muli"/>
        </w:rPr>
        <w:t>d</w:t>
      </w:r>
      <w:r w:rsidR="004C5D45">
        <w:rPr>
          <w:rFonts w:ascii="Muli" w:hAnsi="Muli"/>
        </w:rPr>
        <w:t xml:space="preserve"> on page </w:t>
      </w:r>
      <w:r w:rsidR="009064BE">
        <w:rPr>
          <w:rFonts w:ascii="Muli" w:hAnsi="Muli"/>
        </w:rPr>
        <w:t>4</w:t>
      </w:r>
      <w:r w:rsidR="004C5D45">
        <w:rPr>
          <w:rFonts w:ascii="Muli" w:hAnsi="Muli"/>
        </w:rPr>
        <w:t>, which shows that in all quartiles, women make up at least two thirds of the work force.  This is highest in the lowe</w:t>
      </w:r>
      <w:r w:rsidR="001F4104">
        <w:rPr>
          <w:rFonts w:ascii="Muli" w:hAnsi="Muli"/>
        </w:rPr>
        <w:t>r pay</w:t>
      </w:r>
      <w:r w:rsidR="004C5D45">
        <w:rPr>
          <w:rFonts w:ascii="Muli" w:hAnsi="Muli"/>
        </w:rPr>
        <w:t xml:space="preserve"> quartile with an average across the comparator employers of </w:t>
      </w:r>
      <w:r w:rsidR="001F4104">
        <w:rPr>
          <w:rFonts w:ascii="Muli" w:hAnsi="Muli"/>
        </w:rPr>
        <w:t xml:space="preserve">87%, in the lower middle pay quartile this is </w:t>
      </w:r>
      <w:bookmarkStart w:id="0" w:name="_GoBack"/>
      <w:bookmarkEnd w:id="0"/>
      <w:r w:rsidR="001F4104">
        <w:rPr>
          <w:rFonts w:ascii="Muli" w:hAnsi="Muli"/>
        </w:rPr>
        <w:t xml:space="preserve">83%, in the upper middle pay quartile this is 78% and in the upper pay quartile this is 70%.  </w:t>
      </w:r>
      <w:r w:rsidR="00052261">
        <w:rPr>
          <w:rFonts w:ascii="Muli" w:hAnsi="Muli"/>
        </w:rPr>
        <w:t xml:space="preserve">At the time of writing, comparator data was only available for the last two years however </w:t>
      </w:r>
      <w:proofErr w:type="spellStart"/>
      <w:r w:rsidR="00052261">
        <w:rPr>
          <w:rFonts w:ascii="Muli" w:hAnsi="Muli"/>
        </w:rPr>
        <w:t>Wes</w:t>
      </w:r>
      <w:r w:rsidR="001F4104">
        <w:rPr>
          <w:rFonts w:ascii="Muli" w:hAnsi="Muli"/>
        </w:rPr>
        <w:t>T’s</w:t>
      </w:r>
      <w:proofErr w:type="spellEnd"/>
      <w:r w:rsidR="001F4104">
        <w:rPr>
          <w:rFonts w:ascii="Muli" w:hAnsi="Muli"/>
        </w:rPr>
        <w:t xml:space="preserve"> data</w:t>
      </w:r>
      <w:r w:rsidR="00052261">
        <w:rPr>
          <w:rFonts w:ascii="Muli" w:hAnsi="Muli"/>
        </w:rPr>
        <w:t xml:space="preserve"> is available and averaged over the last three years</w:t>
      </w:r>
      <w:r w:rsidR="001F4104">
        <w:rPr>
          <w:rFonts w:ascii="Muli" w:hAnsi="Muli"/>
        </w:rPr>
        <w:t xml:space="preserve"> the female work force was </w:t>
      </w:r>
      <w:r w:rsidR="00052261">
        <w:rPr>
          <w:rFonts w:ascii="Muli" w:hAnsi="Muli"/>
        </w:rPr>
        <w:t xml:space="preserve">77% in the </w:t>
      </w:r>
      <w:r w:rsidR="00052261" w:rsidRPr="00052261">
        <w:rPr>
          <w:rFonts w:ascii="Muli" w:hAnsi="Muli"/>
        </w:rPr>
        <w:t xml:space="preserve">lower pay quartile, </w:t>
      </w:r>
      <w:r w:rsidR="00052261">
        <w:rPr>
          <w:rFonts w:ascii="Muli" w:hAnsi="Muli"/>
        </w:rPr>
        <w:t xml:space="preserve">83% </w:t>
      </w:r>
      <w:r w:rsidR="00052261" w:rsidRPr="00052261">
        <w:rPr>
          <w:rFonts w:ascii="Muli" w:hAnsi="Muli"/>
        </w:rPr>
        <w:t>i</w:t>
      </w:r>
      <w:r w:rsidR="00052261">
        <w:rPr>
          <w:rFonts w:ascii="Muli" w:hAnsi="Muli"/>
        </w:rPr>
        <w:t xml:space="preserve">n the lower middle pay quartile, 71% </w:t>
      </w:r>
      <w:r w:rsidR="00052261" w:rsidRPr="00052261">
        <w:rPr>
          <w:rFonts w:ascii="Muli" w:hAnsi="Muli"/>
        </w:rPr>
        <w:t>in the upper middle pay quartile and in the upper pay quartile th</w:t>
      </w:r>
      <w:r w:rsidR="00052261">
        <w:rPr>
          <w:rFonts w:ascii="Muli" w:hAnsi="Muli"/>
        </w:rPr>
        <w:t>e average</w:t>
      </w:r>
      <w:r w:rsidR="00052261" w:rsidRPr="00052261">
        <w:rPr>
          <w:rFonts w:ascii="Muli" w:hAnsi="Muli"/>
        </w:rPr>
        <w:t xml:space="preserve"> is </w:t>
      </w:r>
      <w:r w:rsidR="00AF4FDC">
        <w:rPr>
          <w:rFonts w:ascii="Muli" w:hAnsi="Muli"/>
        </w:rPr>
        <w:t>6</w:t>
      </w:r>
      <w:r w:rsidR="00052261" w:rsidRPr="00052261">
        <w:rPr>
          <w:rFonts w:ascii="Muli" w:hAnsi="Muli"/>
        </w:rPr>
        <w:t>0%</w:t>
      </w:r>
      <w:r w:rsidR="00AF4FDC">
        <w:rPr>
          <w:rFonts w:ascii="Muli" w:hAnsi="Muli"/>
        </w:rPr>
        <w:t>.</w:t>
      </w:r>
      <w:r w:rsidR="001F4104">
        <w:rPr>
          <w:rFonts w:ascii="Muli" w:hAnsi="Muli"/>
        </w:rPr>
        <w:t xml:space="preserve">  </w:t>
      </w:r>
    </w:p>
    <w:p w:rsidR="00AF4FDC" w:rsidRDefault="00AF4FDC">
      <w:pPr>
        <w:rPr>
          <w:rFonts w:ascii="Muli" w:hAnsi="Muli"/>
        </w:rPr>
      </w:pPr>
      <w:r>
        <w:rPr>
          <w:rFonts w:ascii="Muli" w:hAnsi="Muli"/>
        </w:rPr>
        <w:t>Over time there has been an initial fall and then rise of both mean and median gaps.  It is</w:t>
      </w:r>
      <w:r w:rsidR="00674422">
        <w:rPr>
          <w:rFonts w:ascii="Muli" w:hAnsi="Muli"/>
        </w:rPr>
        <w:t>,</w:t>
      </w:r>
      <w:r>
        <w:rPr>
          <w:rFonts w:ascii="Muli" w:hAnsi="Muli"/>
        </w:rPr>
        <w:t xml:space="preserve"> however</w:t>
      </w:r>
      <w:r w:rsidR="00674422">
        <w:rPr>
          <w:rFonts w:ascii="Muli" w:hAnsi="Muli"/>
        </w:rPr>
        <w:t>,</w:t>
      </w:r>
      <w:r>
        <w:rPr>
          <w:rFonts w:ascii="Muli" w:hAnsi="Muli"/>
        </w:rPr>
        <w:t xml:space="preserve"> difficult to provide an accurate analysis until the current period of growth is complete.</w:t>
      </w:r>
      <w:r w:rsidR="00674422">
        <w:rPr>
          <w:rFonts w:ascii="Muli" w:hAnsi="Muli"/>
        </w:rPr>
        <w:t xml:space="preserve">  However, looking at WeST’s data alongside that of its comparators, it is notable that women account for a smaller percentage of the workforce in both the upper middle pay quartile and the upper pay quartile.</w:t>
      </w:r>
    </w:p>
    <w:p w:rsidR="00674422" w:rsidRDefault="00674422">
      <w:pPr>
        <w:rPr>
          <w:rFonts w:ascii="Muli" w:hAnsi="Muli"/>
        </w:rPr>
      </w:pPr>
      <w:r>
        <w:rPr>
          <w:rFonts w:ascii="Muli" w:hAnsi="Muli"/>
        </w:rPr>
        <w:t>It will be important to look at this to see whether this trend is a continuing one and to establish whether development work needs to</w:t>
      </w:r>
      <w:r w:rsidR="000C731B">
        <w:rPr>
          <w:rFonts w:ascii="Muli" w:hAnsi="Muli"/>
        </w:rPr>
        <w:t xml:space="preserve"> be undertaken to address this </w:t>
      </w:r>
      <w:r>
        <w:rPr>
          <w:rFonts w:ascii="Muli" w:hAnsi="Muli"/>
        </w:rPr>
        <w:t xml:space="preserve">and ensure that female staff are being developed to undertake the highest paid roles at rates </w:t>
      </w:r>
      <w:proofErr w:type="gramStart"/>
      <w:r>
        <w:rPr>
          <w:rFonts w:ascii="Muli" w:hAnsi="Muli"/>
        </w:rPr>
        <w:t>which</w:t>
      </w:r>
      <w:proofErr w:type="gramEnd"/>
      <w:r>
        <w:rPr>
          <w:rFonts w:ascii="Muli" w:hAnsi="Muli"/>
        </w:rPr>
        <w:t xml:space="preserve"> reflect </w:t>
      </w:r>
      <w:r w:rsidR="002134AC">
        <w:rPr>
          <w:rFonts w:ascii="Muli" w:hAnsi="Muli"/>
        </w:rPr>
        <w:t xml:space="preserve">or better </w:t>
      </w:r>
      <w:r>
        <w:rPr>
          <w:rFonts w:ascii="Muli" w:hAnsi="Muli"/>
        </w:rPr>
        <w:t>the national gender balance of the sector</w:t>
      </w:r>
      <w:r w:rsidR="002134AC">
        <w:rPr>
          <w:rFonts w:ascii="Muli" w:hAnsi="Muli"/>
        </w:rPr>
        <w:t xml:space="preserve"> in order to address the imbalance</w:t>
      </w:r>
      <w:r w:rsidR="005B1380">
        <w:rPr>
          <w:rFonts w:ascii="Muli" w:hAnsi="Muli"/>
        </w:rPr>
        <w:t xml:space="preserve"> further</w:t>
      </w:r>
      <w:r>
        <w:rPr>
          <w:rFonts w:ascii="Muli" w:hAnsi="Muli"/>
        </w:rPr>
        <w:t xml:space="preserve">. </w:t>
      </w:r>
    </w:p>
    <w:p w:rsidR="000C31F1" w:rsidRDefault="000C731B">
      <w:pPr>
        <w:rPr>
          <w:rFonts w:ascii="Muli" w:hAnsi="Muli"/>
        </w:rPr>
        <w:sectPr w:rsidR="000C31F1" w:rsidSect="000C31F1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Muli" w:hAnsi="Muli"/>
        </w:rPr>
        <w:t>WeST currently applies national terms and conditions across both its teaching and support</w:t>
      </w:r>
      <w:r w:rsidRPr="000C731B">
        <w:rPr>
          <w:rFonts w:ascii="Muli" w:hAnsi="Muli"/>
        </w:rPr>
        <w:t xml:space="preserve"> </w:t>
      </w:r>
      <w:r>
        <w:rPr>
          <w:rFonts w:ascii="Muli" w:hAnsi="Muli"/>
        </w:rPr>
        <w:t>staff.  It believes that these nationally benchmarked schemes afford the best opportunity to achieve pay parity.</w:t>
      </w:r>
      <w:r w:rsidR="00993AC1">
        <w:rPr>
          <w:rFonts w:ascii="Muli" w:hAnsi="Muli"/>
        </w:rPr>
        <w:t xml:space="preserve">  In addition to this, the Trust operates a number of family friendly policies with enhanced occupational entitlements in line with national terms and conditions which provide good levels of support to its staff.  As a Trust, the board has the ability to negotiate away from these terms and conditions however it is happy that </w:t>
      </w:r>
      <w:r w:rsidR="000C31F1">
        <w:rPr>
          <w:rFonts w:ascii="Muli" w:hAnsi="Muli"/>
        </w:rPr>
        <w:t>these are part of a fair package of entitlements which it is not seeking to change.</w:t>
      </w:r>
    </w:p>
    <w:p w:rsidR="000C731B" w:rsidRPr="000C731B" w:rsidRDefault="000C731B" w:rsidP="009064BE">
      <w:pPr>
        <w:pStyle w:val="Heading1"/>
      </w:pPr>
      <w:r w:rsidRPr="000C731B">
        <w:t>Gender Pay Gap Report 2019</w:t>
      </w:r>
    </w:p>
    <w:tbl>
      <w:tblPr>
        <w:tblW w:w="11520" w:type="dxa"/>
        <w:jc w:val="center"/>
        <w:tblInd w:w="93" w:type="dxa"/>
        <w:tblLook w:val="04A0" w:firstRow="1" w:lastRow="0" w:firstColumn="1" w:lastColumn="0" w:noHBand="0" w:noVBand="1"/>
      </w:tblPr>
      <w:tblGrid>
        <w:gridCol w:w="1580"/>
        <w:gridCol w:w="1640"/>
        <w:gridCol w:w="1053"/>
        <w:gridCol w:w="2540"/>
        <w:gridCol w:w="960"/>
        <w:gridCol w:w="960"/>
        <w:gridCol w:w="960"/>
        <w:gridCol w:w="960"/>
        <w:gridCol w:w="960"/>
      </w:tblGrid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Mean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Row Labels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Count of Ref</w:t>
            </w: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Average of Hourly Pay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1074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17.08677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411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21.27751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Grand Total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1485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19.18214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19.70%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Mean GPG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Median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Count</w:t>
            </w: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Median Position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Median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1074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F537.5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F537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F538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10.92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411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M206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M206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20.23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46.02%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Median GPG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Quartiles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371.25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in each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Before Manual Adjustments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First row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Last row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Rows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Quartile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Count 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Count 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% 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% M</w:t>
            </w: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371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1. Upper quartile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232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1E0BF9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62.53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1E0BF9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37.46</w:t>
            </w: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372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743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372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2. Upper middle quartile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259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1E0BF9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69.62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1E0BF9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30.37</w:t>
            </w: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744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1114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371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3. Lower middle quartile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1E0BF9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85.17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1E0BF9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14.82</w:t>
            </w:r>
          </w:p>
        </w:tc>
      </w:tr>
      <w:tr w:rsidR="000C731B" w:rsidRPr="000C731B" w:rsidTr="000C31F1">
        <w:trPr>
          <w:trHeight w:val="288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1115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1485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371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4. Lower quartile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267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0C731B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C731B">
              <w:rPr>
                <w:rFonts w:ascii="Calibri" w:eastAsia="Times New Roman" w:hAnsi="Calibri" w:cs="Calibri"/>
                <w:color w:val="000000"/>
                <w:lang w:eastAsia="en-GB"/>
              </w:rPr>
              <w:t>371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1E0BF9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71.96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1B" w:rsidRPr="000C731B" w:rsidRDefault="001E0BF9" w:rsidP="000C7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28.03</w:t>
            </w:r>
          </w:p>
        </w:tc>
      </w:tr>
    </w:tbl>
    <w:p w:rsidR="007F4456" w:rsidRDefault="007F4456">
      <w:pPr>
        <w:rPr>
          <w:rFonts w:ascii="Muli" w:hAnsi="Muli"/>
        </w:rPr>
        <w:sectPr w:rsidR="007F4456" w:rsidSect="000C31F1">
          <w:headerReference w:type="default" r:id="rId10"/>
          <w:footerReference w:type="default" r:id="rId11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0C731B" w:rsidRDefault="000C731B" w:rsidP="007F4456">
      <w:pPr>
        <w:pStyle w:val="Heading1"/>
      </w:pPr>
      <w:r>
        <w:lastRenderedPageBreak/>
        <w:t xml:space="preserve">Gender Pay Gap Analysis </w:t>
      </w:r>
      <w:r w:rsidR="007F4456">
        <w:t>over time</w:t>
      </w:r>
    </w:p>
    <w:p w:rsidR="000C731B" w:rsidRDefault="007F4456" w:rsidP="000C31F1">
      <w:pPr>
        <w:jc w:val="center"/>
        <w:rPr>
          <w:rFonts w:ascii="Muli" w:hAnsi="Muli"/>
        </w:rPr>
      </w:pPr>
      <w:r>
        <w:rPr>
          <w:noProof/>
          <w:lang w:eastAsia="en-GB"/>
        </w:rPr>
        <w:drawing>
          <wp:inline distT="0" distB="0" distL="0" distR="0" wp14:anchorId="4204ECEB" wp14:editId="5201DE11">
            <wp:extent cx="4356100" cy="2603500"/>
            <wp:effectExtent l="0" t="0" r="25400" b="2540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F4456" w:rsidRDefault="007F4456" w:rsidP="000C31F1">
      <w:pPr>
        <w:jc w:val="center"/>
        <w:rPr>
          <w:rFonts w:ascii="Muli" w:hAnsi="Muli"/>
        </w:rPr>
      </w:pPr>
      <w:r>
        <w:rPr>
          <w:noProof/>
          <w:lang w:eastAsia="en-GB"/>
        </w:rPr>
        <w:drawing>
          <wp:inline distT="0" distB="0" distL="0" distR="0" wp14:anchorId="6BDA4A11" wp14:editId="491CAD2E">
            <wp:extent cx="4356100" cy="2679700"/>
            <wp:effectExtent l="0" t="0" r="25400" b="2540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F4456" w:rsidRDefault="007F4456" w:rsidP="000C31F1">
      <w:pPr>
        <w:jc w:val="center"/>
        <w:rPr>
          <w:rFonts w:ascii="Muli" w:hAnsi="Muli"/>
        </w:rPr>
        <w:sectPr w:rsidR="007F4456" w:rsidSect="007F4456">
          <w:headerReference w:type="even" r:id="rId14"/>
          <w:headerReference w:type="default" r:id="rId15"/>
          <w:footerReference w:type="default" r:id="rId16"/>
          <w:headerReference w:type="first" r:id="rId1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36F71DE5" wp14:editId="36A56CB8">
            <wp:extent cx="4356100" cy="2552700"/>
            <wp:effectExtent l="0" t="0" r="25400" b="1905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7F4456" w:rsidRDefault="009064BE" w:rsidP="009064BE">
      <w:pPr>
        <w:pStyle w:val="Heading1"/>
      </w:pPr>
      <w:r>
        <w:lastRenderedPageBreak/>
        <w:t>Gender Pay Gap Comparator Employers</w:t>
      </w:r>
    </w:p>
    <w:p w:rsidR="009064BE" w:rsidRPr="004C5D45" w:rsidRDefault="009064BE">
      <w:pPr>
        <w:rPr>
          <w:rFonts w:ascii="Muli" w:hAnsi="Muli"/>
        </w:rPr>
      </w:pPr>
      <w:r w:rsidRPr="009064BE">
        <w:rPr>
          <w:noProof/>
          <w:lang w:eastAsia="en-GB"/>
        </w:rPr>
        <w:drawing>
          <wp:inline distT="0" distB="0" distL="0" distR="0" wp14:anchorId="6F8CBE16" wp14:editId="05654935">
            <wp:extent cx="8121650" cy="515840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6525" cy="5161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64BE" w:rsidRPr="004C5D45" w:rsidSect="007F4456">
      <w:headerReference w:type="even" r:id="rId20"/>
      <w:headerReference w:type="default" r:id="rId21"/>
      <w:footerReference w:type="default" r:id="rId22"/>
      <w:headerReference w:type="first" r:id="rId2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AC1" w:rsidRDefault="00993AC1" w:rsidP="00D122ED">
      <w:pPr>
        <w:spacing w:after="0" w:line="240" w:lineRule="auto"/>
      </w:pPr>
      <w:r>
        <w:separator/>
      </w:r>
    </w:p>
  </w:endnote>
  <w:endnote w:type="continuationSeparator" w:id="0">
    <w:p w:rsidR="00993AC1" w:rsidRDefault="00993AC1" w:rsidP="00D12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uli">
    <w:panose1 w:val="02000503000000000000"/>
    <w:charset w:val="00"/>
    <w:family w:val="auto"/>
    <w:pitch w:val="variable"/>
    <w:sig w:usb0="A00000EF" w:usb1="40002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0223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3AC1" w:rsidRDefault="00993A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31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93AC1" w:rsidRDefault="00993AC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65461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C31F1" w:rsidRDefault="000C31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C31F1" w:rsidRDefault="000C31F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363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3AC1" w:rsidRDefault="00993A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31F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93AC1" w:rsidRDefault="00993AC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1035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3AC1" w:rsidRDefault="00993A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31F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93AC1" w:rsidRDefault="00993A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AC1" w:rsidRDefault="00993AC1" w:rsidP="00D122ED">
      <w:pPr>
        <w:spacing w:after="0" w:line="240" w:lineRule="auto"/>
      </w:pPr>
      <w:r>
        <w:separator/>
      </w:r>
    </w:p>
  </w:footnote>
  <w:footnote w:type="continuationSeparator" w:id="0">
    <w:p w:rsidR="00993AC1" w:rsidRDefault="00993AC1" w:rsidP="00D12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C1" w:rsidRDefault="00993AC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FF5C94F" wp14:editId="4338DA07">
          <wp:simplePos x="0" y="0"/>
          <wp:positionH relativeFrom="column">
            <wp:posOffset>8394700</wp:posOffset>
          </wp:positionH>
          <wp:positionV relativeFrom="paragraph">
            <wp:posOffset>-208280</wp:posOffset>
          </wp:positionV>
          <wp:extent cx="990600" cy="990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ST-LOGO-SINGLE cop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1F1" w:rsidRDefault="000C31F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4E102D2" wp14:editId="1735DE46">
          <wp:simplePos x="0" y="0"/>
          <wp:positionH relativeFrom="column">
            <wp:posOffset>8394700</wp:posOffset>
          </wp:positionH>
          <wp:positionV relativeFrom="paragraph">
            <wp:posOffset>-208280</wp:posOffset>
          </wp:positionV>
          <wp:extent cx="990600" cy="9906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ST-LOGO-SINGLE cop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C1" w:rsidRDefault="00993AC1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C1" w:rsidRDefault="00993AC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F4E738E" wp14:editId="2FB3FB3C">
          <wp:simplePos x="0" y="0"/>
          <wp:positionH relativeFrom="column">
            <wp:posOffset>8394700</wp:posOffset>
          </wp:positionH>
          <wp:positionV relativeFrom="paragraph">
            <wp:posOffset>-208280</wp:posOffset>
          </wp:positionV>
          <wp:extent cx="990600" cy="9906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ST-LOGO-SINGLE cop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C1" w:rsidRDefault="00993AC1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C1" w:rsidRDefault="00993AC1"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C1" w:rsidRDefault="00993AC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72D53E4F" wp14:editId="79C445AC">
          <wp:simplePos x="0" y="0"/>
          <wp:positionH relativeFrom="column">
            <wp:posOffset>8394700</wp:posOffset>
          </wp:positionH>
          <wp:positionV relativeFrom="paragraph">
            <wp:posOffset>-208280</wp:posOffset>
          </wp:positionV>
          <wp:extent cx="990600" cy="9906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ST-LOGO-SINGLE cop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C1" w:rsidRDefault="00993A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EC8"/>
    <w:rsid w:val="00052261"/>
    <w:rsid w:val="000706C5"/>
    <w:rsid w:val="000C31F1"/>
    <w:rsid w:val="000C731B"/>
    <w:rsid w:val="001E0BF9"/>
    <w:rsid w:val="001F0587"/>
    <w:rsid w:val="001F4104"/>
    <w:rsid w:val="002134AC"/>
    <w:rsid w:val="004C5D45"/>
    <w:rsid w:val="005A7EC8"/>
    <w:rsid w:val="005B1380"/>
    <w:rsid w:val="005C245E"/>
    <w:rsid w:val="00674422"/>
    <w:rsid w:val="007E2705"/>
    <w:rsid w:val="007F4456"/>
    <w:rsid w:val="009064BE"/>
    <w:rsid w:val="00952BC7"/>
    <w:rsid w:val="00993AC1"/>
    <w:rsid w:val="00AF4FDC"/>
    <w:rsid w:val="00B5421E"/>
    <w:rsid w:val="00B60845"/>
    <w:rsid w:val="00D1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5D45"/>
    <w:pPr>
      <w:keepNext/>
      <w:keepLines/>
      <w:spacing w:before="480" w:after="0"/>
      <w:outlineLvl w:val="0"/>
    </w:pPr>
    <w:rPr>
      <w:rFonts w:ascii="Muli" w:eastAsiaTheme="majorEastAsia" w:hAnsi="Muli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22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2ED"/>
  </w:style>
  <w:style w:type="paragraph" w:styleId="Footer">
    <w:name w:val="footer"/>
    <w:basedOn w:val="Normal"/>
    <w:link w:val="FooterChar"/>
    <w:uiPriority w:val="99"/>
    <w:unhideWhenUsed/>
    <w:rsid w:val="00D122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2ED"/>
  </w:style>
  <w:style w:type="paragraph" w:styleId="BalloonText">
    <w:name w:val="Balloon Text"/>
    <w:basedOn w:val="Normal"/>
    <w:link w:val="BalloonTextChar"/>
    <w:uiPriority w:val="99"/>
    <w:semiHidden/>
    <w:unhideWhenUsed/>
    <w:rsid w:val="00D12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2E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C5D45"/>
    <w:rPr>
      <w:rFonts w:ascii="Muli" w:eastAsiaTheme="majorEastAsia" w:hAnsi="Muli" w:cstheme="majorBid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5D45"/>
    <w:pPr>
      <w:keepNext/>
      <w:keepLines/>
      <w:spacing w:before="480" w:after="0"/>
      <w:outlineLvl w:val="0"/>
    </w:pPr>
    <w:rPr>
      <w:rFonts w:ascii="Muli" w:eastAsiaTheme="majorEastAsia" w:hAnsi="Muli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22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2ED"/>
  </w:style>
  <w:style w:type="paragraph" w:styleId="Footer">
    <w:name w:val="footer"/>
    <w:basedOn w:val="Normal"/>
    <w:link w:val="FooterChar"/>
    <w:uiPriority w:val="99"/>
    <w:unhideWhenUsed/>
    <w:rsid w:val="00D122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2ED"/>
  </w:style>
  <w:style w:type="paragraph" w:styleId="BalloonText">
    <w:name w:val="Balloon Text"/>
    <w:basedOn w:val="Normal"/>
    <w:link w:val="BalloonTextChar"/>
    <w:uiPriority w:val="99"/>
    <w:semiHidden/>
    <w:unhideWhenUsed/>
    <w:rsid w:val="00D12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2E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C5D45"/>
    <w:rPr>
      <w:rFonts w:ascii="Muli" w:eastAsiaTheme="majorEastAsia" w:hAnsi="Mul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8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hart" Target="charts/chart2.xml"/><Relationship Id="rId18" Type="http://schemas.openxmlformats.org/officeDocument/2006/relationships/chart" Target="charts/chart3.xml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header" Target="header5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10" Type="http://schemas.openxmlformats.org/officeDocument/2006/relationships/header" Target="header2.xml"/><Relationship Id="rId19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3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Staff</a:t>
            </a:r>
            <a:r>
              <a:rPr lang="en-GB" baseline="0"/>
              <a:t> gender profile over time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'[WeST GPG Calculation 2019.xlsx.xlsx]Analysis'!$A$2:$B$2</c:f>
              <c:strCache>
                <c:ptCount val="1"/>
                <c:pt idx="0">
                  <c:v>Female Staff</c:v>
                </c:pt>
              </c:strCache>
            </c:strRef>
          </c:tx>
          <c:invertIfNegative val="0"/>
          <c:cat>
            <c:numRef>
              <c:f>'[WeST GPG Calculation 2019.xlsx.xlsx]Analysis'!$C$1:$E$1</c:f>
              <c:numCache>
                <c:formatCode>General</c:formatCode>
                <c:ptCount val="3"/>
                <c:pt idx="0" formatCode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'[WeST GPG Calculation 2019.xlsx.xlsx]Analysis'!$C$2:$E$2</c:f>
              <c:numCache>
                <c:formatCode>General</c:formatCode>
                <c:ptCount val="3"/>
                <c:pt idx="0" formatCode="0">
                  <c:v>285</c:v>
                </c:pt>
                <c:pt idx="1">
                  <c:v>1088</c:v>
                </c:pt>
                <c:pt idx="2">
                  <c:v>1074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FFE-4928-B187-D8FD999A3F44}"/>
            </c:ext>
          </c:extLst>
        </c:ser>
        <c:ser>
          <c:idx val="1"/>
          <c:order val="1"/>
          <c:tx>
            <c:strRef>
              <c:f>'[WeST GPG Calculation 2019.xlsx.xlsx]Analysis'!$A$3:$B$3</c:f>
              <c:strCache>
                <c:ptCount val="1"/>
                <c:pt idx="0">
                  <c:v>Male Staff</c:v>
                </c:pt>
              </c:strCache>
            </c:strRef>
          </c:tx>
          <c:invertIfNegative val="0"/>
          <c:cat>
            <c:numRef>
              <c:f>'[WeST GPG Calculation 2019.xlsx.xlsx]Analysis'!$C$1:$E$1</c:f>
              <c:numCache>
                <c:formatCode>General</c:formatCode>
                <c:ptCount val="3"/>
                <c:pt idx="0" formatCode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'[WeST GPG Calculation 2019.xlsx.xlsx]Analysis'!$C$3:$E$3</c:f>
              <c:numCache>
                <c:formatCode>General</c:formatCode>
                <c:ptCount val="3"/>
                <c:pt idx="0" formatCode="0">
                  <c:v>101</c:v>
                </c:pt>
                <c:pt idx="1">
                  <c:v>424</c:v>
                </c:pt>
                <c:pt idx="2">
                  <c:v>411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FFE-4928-B187-D8FD999A3F44}"/>
            </c:ext>
          </c:extLst>
        </c:ser>
        <c:ser>
          <c:idx val="2"/>
          <c:order val="2"/>
          <c:tx>
            <c:strRef>
              <c:f>'[WeST GPG Calculation 2019.xlsx.xlsx]Analysis'!$A$4:$B$4</c:f>
              <c:strCache>
                <c:ptCount val="1"/>
                <c:pt idx="0">
                  <c:v>Total Staff</c:v>
                </c:pt>
              </c:strCache>
            </c:strRef>
          </c:tx>
          <c:invertIfNegative val="0"/>
          <c:cat>
            <c:numRef>
              <c:f>'[WeST GPG Calculation 2019.xlsx.xlsx]Analysis'!$C$1:$E$1</c:f>
              <c:numCache>
                <c:formatCode>General</c:formatCode>
                <c:ptCount val="3"/>
                <c:pt idx="0" formatCode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'[WeST GPG Calculation 2019.xlsx.xlsx]Analysis'!$C$4:$E$4</c:f>
              <c:numCache>
                <c:formatCode>General</c:formatCode>
                <c:ptCount val="3"/>
                <c:pt idx="0" formatCode="0">
                  <c:v>386</c:v>
                </c:pt>
                <c:pt idx="1">
                  <c:v>1512</c:v>
                </c:pt>
                <c:pt idx="2">
                  <c:v>1485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FFE-4928-B187-D8FD999A3F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7039488"/>
        <c:axId val="227041280"/>
      </c:barChart>
      <c:catAx>
        <c:axId val="227039488"/>
        <c:scaling>
          <c:orientation val="minMax"/>
        </c:scaling>
        <c:delete val="0"/>
        <c:axPos val="b"/>
        <c:numFmt formatCode="0" sourceLinked="1"/>
        <c:majorTickMark val="none"/>
        <c:minorTickMark val="none"/>
        <c:tickLblPos val="nextTo"/>
        <c:crossAx val="227041280"/>
        <c:crosses val="autoZero"/>
        <c:auto val="1"/>
        <c:lblAlgn val="ctr"/>
        <c:lblOffset val="100"/>
        <c:noMultiLvlLbl val="0"/>
      </c:catAx>
      <c:valAx>
        <c:axId val="227041280"/>
        <c:scaling>
          <c:orientation val="minMax"/>
        </c:scaling>
        <c:delete val="0"/>
        <c:axPos val="l"/>
        <c:majorGridlines/>
        <c:numFmt formatCode="0" sourceLinked="1"/>
        <c:majorTickMark val="none"/>
        <c:minorTickMark val="none"/>
        <c:tickLblPos val="nextTo"/>
        <c:crossAx val="22703948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Quartiles by gender over time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'[WeST GPG Calculation 2019.xlsx.xlsx]Analysis'!$K$1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cat>
            <c:multiLvlStrRef>
              <c:f>'[WeST GPG Calculation 2019.xlsx.xlsx]Analysis'!$I$2:$J$9</c:f>
              <c:multiLvlStrCache>
                <c:ptCount val="8"/>
                <c:lvl>
                  <c:pt idx="0">
                    <c:v>F</c:v>
                  </c:pt>
                  <c:pt idx="1">
                    <c:v>M</c:v>
                  </c:pt>
                  <c:pt idx="2">
                    <c:v>F</c:v>
                  </c:pt>
                  <c:pt idx="3">
                    <c:v>M</c:v>
                  </c:pt>
                  <c:pt idx="4">
                    <c:v>F</c:v>
                  </c:pt>
                  <c:pt idx="5">
                    <c:v>M</c:v>
                  </c:pt>
                  <c:pt idx="6">
                    <c:v>F</c:v>
                  </c:pt>
                  <c:pt idx="7">
                    <c:v>M</c:v>
                  </c:pt>
                </c:lvl>
                <c:lvl>
                  <c:pt idx="0">
                    <c:v>Upper quartile</c:v>
                  </c:pt>
                  <c:pt idx="2">
                    <c:v>Upper middle quartile</c:v>
                  </c:pt>
                  <c:pt idx="4">
                    <c:v>Lower middle quartile</c:v>
                  </c:pt>
                  <c:pt idx="6">
                    <c:v>Lower quartile</c:v>
                  </c:pt>
                </c:lvl>
              </c:multiLvlStrCache>
            </c:multiLvlStrRef>
          </c:cat>
          <c:val>
            <c:numRef>
              <c:f>'[WeST GPG Calculation 2019.xlsx.xlsx]Analysis'!$K$2:$K$9</c:f>
              <c:numCache>
                <c:formatCode>0.0</c:formatCode>
                <c:ptCount val="8"/>
                <c:pt idx="0">
                  <c:v>58.8</c:v>
                </c:pt>
                <c:pt idx="1">
                  <c:v>41.2</c:v>
                </c:pt>
                <c:pt idx="2">
                  <c:v>70.8</c:v>
                </c:pt>
                <c:pt idx="3">
                  <c:v>29.2</c:v>
                </c:pt>
                <c:pt idx="4">
                  <c:v>77.3</c:v>
                </c:pt>
                <c:pt idx="5">
                  <c:v>22.7</c:v>
                </c:pt>
                <c:pt idx="6">
                  <c:v>88.5</c:v>
                </c:pt>
                <c:pt idx="7">
                  <c:v>11.5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F35-45B7-B487-1DD4E177EDAD}"/>
            </c:ext>
          </c:extLst>
        </c:ser>
        <c:ser>
          <c:idx val="1"/>
          <c:order val="1"/>
          <c:tx>
            <c:strRef>
              <c:f>'[WeST GPG Calculation 2019.xlsx.xlsx]Analysis'!$L$1</c:f>
              <c:strCache>
                <c:ptCount val="1"/>
                <c:pt idx="0">
                  <c:v>2018</c:v>
                </c:pt>
              </c:strCache>
            </c:strRef>
          </c:tx>
          <c:invertIfNegative val="0"/>
          <c:cat>
            <c:multiLvlStrRef>
              <c:f>'[WeST GPG Calculation 2019.xlsx.xlsx]Analysis'!$I$2:$J$9</c:f>
              <c:multiLvlStrCache>
                <c:ptCount val="8"/>
                <c:lvl>
                  <c:pt idx="0">
                    <c:v>F</c:v>
                  </c:pt>
                  <c:pt idx="1">
                    <c:v>M</c:v>
                  </c:pt>
                  <c:pt idx="2">
                    <c:v>F</c:v>
                  </c:pt>
                  <c:pt idx="3">
                    <c:v>M</c:v>
                  </c:pt>
                  <c:pt idx="4">
                    <c:v>F</c:v>
                  </c:pt>
                  <c:pt idx="5">
                    <c:v>M</c:v>
                  </c:pt>
                  <c:pt idx="6">
                    <c:v>F</c:v>
                  </c:pt>
                  <c:pt idx="7">
                    <c:v>M</c:v>
                  </c:pt>
                </c:lvl>
                <c:lvl>
                  <c:pt idx="0">
                    <c:v>Upper quartile</c:v>
                  </c:pt>
                  <c:pt idx="2">
                    <c:v>Upper middle quartile</c:v>
                  </c:pt>
                  <c:pt idx="4">
                    <c:v>Lower middle quartile</c:v>
                  </c:pt>
                  <c:pt idx="6">
                    <c:v>Lower quartile</c:v>
                  </c:pt>
                </c:lvl>
              </c:multiLvlStrCache>
            </c:multiLvlStrRef>
          </c:cat>
          <c:val>
            <c:numRef>
              <c:f>'[WeST GPG Calculation 2019.xlsx.xlsx]Analysis'!$L$2:$L$9</c:f>
              <c:numCache>
                <c:formatCode>General</c:formatCode>
                <c:ptCount val="8"/>
                <c:pt idx="0">
                  <c:v>58.47</c:v>
                </c:pt>
                <c:pt idx="1">
                  <c:v>41.53</c:v>
                </c:pt>
                <c:pt idx="2">
                  <c:v>71.959999999999994</c:v>
                </c:pt>
                <c:pt idx="3">
                  <c:v>28.04</c:v>
                </c:pt>
                <c:pt idx="4">
                  <c:v>86.24</c:v>
                </c:pt>
                <c:pt idx="5">
                  <c:v>13.76</c:v>
                </c:pt>
                <c:pt idx="6">
                  <c:v>71.16</c:v>
                </c:pt>
                <c:pt idx="7">
                  <c:v>28.84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F35-45B7-B487-1DD4E177EDAD}"/>
            </c:ext>
          </c:extLst>
        </c:ser>
        <c:ser>
          <c:idx val="2"/>
          <c:order val="2"/>
          <c:tx>
            <c:strRef>
              <c:f>'[WeST GPG Calculation 2019.xlsx.xlsx]Analysis'!$M$1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cat>
            <c:multiLvlStrRef>
              <c:f>'[WeST GPG Calculation 2019.xlsx.xlsx]Analysis'!$I$2:$J$9</c:f>
              <c:multiLvlStrCache>
                <c:ptCount val="8"/>
                <c:lvl>
                  <c:pt idx="0">
                    <c:v>F</c:v>
                  </c:pt>
                  <c:pt idx="1">
                    <c:v>M</c:v>
                  </c:pt>
                  <c:pt idx="2">
                    <c:v>F</c:v>
                  </c:pt>
                  <c:pt idx="3">
                    <c:v>M</c:v>
                  </c:pt>
                  <c:pt idx="4">
                    <c:v>F</c:v>
                  </c:pt>
                  <c:pt idx="5">
                    <c:v>M</c:v>
                  </c:pt>
                  <c:pt idx="6">
                    <c:v>F</c:v>
                  </c:pt>
                  <c:pt idx="7">
                    <c:v>M</c:v>
                  </c:pt>
                </c:lvl>
                <c:lvl>
                  <c:pt idx="0">
                    <c:v>Upper quartile</c:v>
                  </c:pt>
                  <c:pt idx="2">
                    <c:v>Upper middle quartile</c:v>
                  </c:pt>
                  <c:pt idx="4">
                    <c:v>Lower middle quartile</c:v>
                  </c:pt>
                  <c:pt idx="6">
                    <c:v>Lower quartile</c:v>
                  </c:pt>
                </c:lvl>
              </c:multiLvlStrCache>
            </c:multiLvlStrRef>
          </c:cat>
          <c:val>
            <c:numRef>
              <c:f>'[WeST GPG Calculation 2019.xlsx.xlsx]Analysis'!$M$2:$M$9</c:f>
              <c:numCache>
                <c:formatCode>General</c:formatCode>
                <c:ptCount val="8"/>
                <c:pt idx="0">
                  <c:v>62.5</c:v>
                </c:pt>
                <c:pt idx="1">
                  <c:v>37.5</c:v>
                </c:pt>
                <c:pt idx="2">
                  <c:v>69.599999999999994</c:v>
                </c:pt>
                <c:pt idx="3">
                  <c:v>30.4</c:v>
                </c:pt>
                <c:pt idx="4">
                  <c:v>85.2</c:v>
                </c:pt>
                <c:pt idx="5">
                  <c:v>14.8</c:v>
                </c:pt>
                <c:pt idx="6" formatCode="0.0">
                  <c:v>72</c:v>
                </c:pt>
                <c:pt idx="7" formatCode="0.0">
                  <c:v>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F35-45B7-B487-1DD4E177EDA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53168000"/>
        <c:axId val="380137856"/>
      </c:barChart>
      <c:catAx>
        <c:axId val="35316800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80137856"/>
        <c:crosses val="autoZero"/>
        <c:auto val="1"/>
        <c:lblAlgn val="ctr"/>
        <c:lblOffset val="100"/>
        <c:noMultiLvlLbl val="0"/>
      </c:catAx>
      <c:valAx>
        <c:axId val="380137856"/>
        <c:scaling>
          <c:orientation val="minMax"/>
        </c:scaling>
        <c:delete val="0"/>
        <c:axPos val="l"/>
        <c:majorGridlines/>
        <c:numFmt formatCode="0.0" sourceLinked="1"/>
        <c:majorTickMark val="none"/>
        <c:minorTickMark val="none"/>
        <c:tickLblPos val="nextTo"/>
        <c:crossAx val="35316800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/>
            </a:pPr>
            <a:r>
              <a:rPr lang="en-GB"/>
              <a:t>Mean and median pay gap</a:t>
            </a:r>
            <a:r>
              <a:rPr lang="en-GB" baseline="0"/>
              <a:t> over time</a:t>
            </a:r>
            <a:endParaRPr lang="en-GB"/>
          </a:p>
        </c:rich>
      </c:tx>
      <c:layout/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'[WeST GPG Calculation 2019.xlsx.xlsx]Analysis'!$P$2</c:f>
              <c:strCache>
                <c:ptCount val="1"/>
                <c:pt idx="0">
                  <c:v>Mean pay gap</c:v>
                </c:pt>
              </c:strCache>
            </c:strRef>
          </c:tx>
          <c:marker>
            <c:symbol val="none"/>
          </c:marker>
          <c:cat>
            <c:numRef>
              <c:f>'[WeST GPG Calculation 2019.xlsx.xlsx]Analysis'!$Q$1:$S$1</c:f>
              <c:numCache>
                <c:formatCode>General</c:formatCode>
                <c:ptCount val="3"/>
                <c:pt idx="0" formatCode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'[WeST GPG Calculation 2019.xlsx.xlsx]Analysis'!$Q$2:$S$2</c:f>
              <c:numCache>
                <c:formatCode>General</c:formatCode>
                <c:ptCount val="3"/>
                <c:pt idx="0">
                  <c:v>23</c:v>
                </c:pt>
                <c:pt idx="1">
                  <c:v>17.420000000000002</c:v>
                </c:pt>
                <c:pt idx="2">
                  <c:v>19.18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87A2-4F94-B2E5-CDF75AC0E1C4}"/>
            </c:ext>
          </c:extLst>
        </c:ser>
        <c:ser>
          <c:idx val="1"/>
          <c:order val="1"/>
          <c:tx>
            <c:strRef>
              <c:f>'[WeST GPG Calculation 2019.xlsx.xlsx]Analysis'!$P$3</c:f>
              <c:strCache>
                <c:ptCount val="1"/>
                <c:pt idx="0">
                  <c:v>Median pay gap</c:v>
                </c:pt>
              </c:strCache>
            </c:strRef>
          </c:tx>
          <c:marker>
            <c:symbol val="none"/>
          </c:marker>
          <c:cat>
            <c:numRef>
              <c:f>'[WeST GPG Calculation 2019.xlsx.xlsx]Analysis'!$Q$1:$S$1</c:f>
              <c:numCache>
                <c:formatCode>General</c:formatCode>
                <c:ptCount val="3"/>
                <c:pt idx="0" formatCode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'[WeST GPG Calculation 2019.xlsx.xlsx]Analysis'!$Q$3:$S$3</c:f>
              <c:numCache>
                <c:formatCode>General</c:formatCode>
                <c:ptCount val="3"/>
                <c:pt idx="0">
                  <c:v>39.1</c:v>
                </c:pt>
                <c:pt idx="1">
                  <c:v>33.950000000000003</c:v>
                </c:pt>
                <c:pt idx="2">
                  <c:v>46.02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87A2-4F94-B2E5-CDF75AC0E1C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80163968"/>
        <c:axId val="380165504"/>
      </c:lineChart>
      <c:catAx>
        <c:axId val="380163968"/>
        <c:scaling>
          <c:orientation val="minMax"/>
        </c:scaling>
        <c:delete val="0"/>
        <c:axPos val="b"/>
        <c:numFmt formatCode="0" sourceLinked="1"/>
        <c:majorTickMark val="none"/>
        <c:minorTickMark val="none"/>
        <c:tickLblPos val="nextTo"/>
        <c:crossAx val="380165504"/>
        <c:crosses val="autoZero"/>
        <c:auto val="1"/>
        <c:lblAlgn val="ctr"/>
        <c:lblOffset val="100"/>
        <c:noMultiLvlLbl val="0"/>
      </c:catAx>
      <c:valAx>
        <c:axId val="380165504"/>
        <c:scaling>
          <c:orientation val="minMax"/>
        </c:scaling>
        <c:delete val="0"/>
        <c:axPos val="l"/>
        <c:majorGridlines/>
        <c:title>
          <c:layout/>
          <c:overlay val="0"/>
        </c:title>
        <c:numFmt formatCode="General" sourceLinked="1"/>
        <c:majorTickMark val="none"/>
        <c:minorTickMark val="none"/>
        <c:tickLblPos val="nextTo"/>
        <c:crossAx val="38016396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927FE-95DD-494C-BAEF-24B68C62A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Acadamy Trust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 Maclachlan-Morris</dc:creator>
  <cp:lastModifiedBy>F Maclachlan-Morris</cp:lastModifiedBy>
  <cp:revision>8</cp:revision>
  <cp:lastPrinted>2020-03-02T09:44:00Z</cp:lastPrinted>
  <dcterms:created xsi:type="dcterms:W3CDTF">2020-02-20T10:26:00Z</dcterms:created>
  <dcterms:modified xsi:type="dcterms:W3CDTF">2020-03-02T10:40:00Z</dcterms:modified>
</cp:coreProperties>
</file>