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CC4C" w14:textId="383CF458" w:rsidR="00E87A92" w:rsidRDefault="00B24896" w:rsidP="00220B9A">
      <w:pPr>
        <w:spacing w:after="0"/>
        <w:jc w:val="center"/>
        <w:rPr>
          <w:rFonts w:ascii="Muli" w:hAnsi="Muli" w:cs="Segoe UI"/>
          <w:b/>
          <w:bCs/>
          <w:sz w:val="28"/>
          <w:szCs w:val="28"/>
        </w:rPr>
      </w:pPr>
      <w:r w:rsidRPr="00220B9A">
        <w:rPr>
          <w:rFonts w:ascii="Muli" w:hAnsi="Muli" w:cs="Segoe UI"/>
          <w:b/>
          <w:bCs/>
          <w:sz w:val="28"/>
          <w:szCs w:val="28"/>
        </w:rPr>
        <w:t>Individual S</w:t>
      </w:r>
      <w:r w:rsidR="00FC3F6F" w:rsidRPr="00220B9A">
        <w:rPr>
          <w:rFonts w:ascii="Muli" w:hAnsi="Muli" w:cs="Segoe UI"/>
          <w:b/>
          <w:bCs/>
          <w:sz w:val="28"/>
          <w:szCs w:val="28"/>
        </w:rPr>
        <w:t xml:space="preserve">taff </w:t>
      </w:r>
      <w:r w:rsidRPr="00220B9A">
        <w:rPr>
          <w:rFonts w:ascii="Muli" w:hAnsi="Muli" w:cs="Segoe UI"/>
          <w:b/>
          <w:bCs/>
          <w:sz w:val="28"/>
          <w:szCs w:val="28"/>
        </w:rPr>
        <w:t>R</w:t>
      </w:r>
      <w:r w:rsidR="00FC3F6F" w:rsidRPr="00220B9A">
        <w:rPr>
          <w:rFonts w:ascii="Muli" w:hAnsi="Muli" w:cs="Segoe UI"/>
          <w:b/>
          <w:bCs/>
          <w:sz w:val="28"/>
          <w:szCs w:val="28"/>
        </w:rPr>
        <w:t xml:space="preserve">isk </w:t>
      </w:r>
      <w:r w:rsidRPr="00220B9A">
        <w:rPr>
          <w:rFonts w:ascii="Muli" w:hAnsi="Muli" w:cs="Segoe UI"/>
          <w:b/>
          <w:bCs/>
          <w:sz w:val="28"/>
          <w:szCs w:val="28"/>
        </w:rPr>
        <w:t>A</w:t>
      </w:r>
      <w:r w:rsidR="00FC3F6F" w:rsidRPr="00220B9A">
        <w:rPr>
          <w:rFonts w:ascii="Muli" w:hAnsi="Muli" w:cs="Segoe UI"/>
          <w:b/>
          <w:bCs/>
          <w:sz w:val="28"/>
          <w:szCs w:val="28"/>
        </w:rPr>
        <w:t>ssessment in response to COVID-</w:t>
      </w:r>
      <w:r w:rsidR="00B144D9" w:rsidRPr="00220B9A">
        <w:rPr>
          <w:rFonts w:ascii="Muli" w:hAnsi="Muli" w:cs="Segoe UI"/>
          <w:b/>
          <w:bCs/>
          <w:sz w:val="28"/>
          <w:szCs w:val="28"/>
        </w:rPr>
        <w:t>19</w:t>
      </w:r>
    </w:p>
    <w:p w14:paraId="036A01B9" w14:textId="77777777" w:rsidR="002A4CB2" w:rsidRPr="00E85DA0" w:rsidRDefault="002A4CB2" w:rsidP="002A4CB2">
      <w:pPr>
        <w:spacing w:after="0"/>
        <w:jc w:val="center"/>
        <w:rPr>
          <w:rFonts w:ascii="Muli" w:hAnsi="Muli" w:cs="Segoe UI"/>
          <w:sz w:val="24"/>
          <w:szCs w:val="24"/>
        </w:rPr>
      </w:pPr>
      <w:r>
        <w:rPr>
          <w:rFonts w:ascii="Muli" w:hAnsi="Muli" w:cs="Segoe UI"/>
          <w:b/>
          <w:bCs/>
          <w:sz w:val="24"/>
          <w:szCs w:val="24"/>
        </w:rPr>
        <w:t>Updated 6</w:t>
      </w:r>
      <w:r w:rsidRPr="00066B45">
        <w:rPr>
          <w:rFonts w:ascii="Muli" w:hAnsi="Muli" w:cs="Segoe UI"/>
          <w:b/>
          <w:bCs/>
          <w:sz w:val="24"/>
          <w:szCs w:val="24"/>
          <w:vertAlign w:val="superscript"/>
        </w:rPr>
        <w:t>th</w:t>
      </w:r>
      <w:r>
        <w:rPr>
          <w:rFonts w:ascii="Muli" w:hAnsi="Muli" w:cs="Segoe UI"/>
          <w:b/>
          <w:bCs/>
          <w:sz w:val="24"/>
          <w:szCs w:val="24"/>
        </w:rPr>
        <w:t xml:space="preserve"> January 2021</w:t>
      </w:r>
    </w:p>
    <w:p w14:paraId="42DF6E4F" w14:textId="657173E3" w:rsidR="005F4F5F" w:rsidRPr="00220B9A" w:rsidRDefault="005F4F5F" w:rsidP="00220B9A">
      <w:pPr>
        <w:spacing w:after="0"/>
        <w:rPr>
          <w:rFonts w:ascii="Muli" w:hAnsi="Muli" w:cs="Segoe UI"/>
          <w:sz w:val="18"/>
          <w:szCs w:val="18"/>
        </w:rPr>
      </w:pPr>
    </w:p>
    <w:p w14:paraId="24B5000C" w14:textId="0C7B5FA4" w:rsidR="00477D47" w:rsidRPr="005717E8" w:rsidRDefault="00477D47" w:rsidP="00220B9A">
      <w:pPr>
        <w:spacing w:after="0"/>
        <w:rPr>
          <w:rFonts w:ascii="Muli" w:hAnsi="Muli" w:cs="Segoe UI"/>
          <w:b/>
          <w:bCs/>
          <w:color w:val="FF0000"/>
          <w:sz w:val="20"/>
          <w:szCs w:val="20"/>
        </w:rPr>
      </w:pPr>
      <w:r w:rsidRPr="005717E8">
        <w:rPr>
          <w:rFonts w:ascii="Muli" w:hAnsi="Muli" w:cs="Segoe UI"/>
          <w:b/>
          <w:bCs/>
          <w:color w:val="FF0000"/>
          <w:sz w:val="20"/>
          <w:szCs w:val="20"/>
        </w:rPr>
        <w:t>PLEASE READ AND UNDERSTAND THE NOTES PRIOR TO UNDERTAKING THE RISK ASSESSMENT</w:t>
      </w:r>
      <w:r w:rsidR="00220B9A" w:rsidRPr="005717E8">
        <w:rPr>
          <w:rFonts w:ascii="Muli" w:hAnsi="Muli" w:cs="Segoe UI"/>
          <w:b/>
          <w:bCs/>
          <w:color w:val="FF0000"/>
          <w:sz w:val="20"/>
          <w:szCs w:val="20"/>
        </w:rPr>
        <w:t xml:space="preserve"> AND COMPLETING THE DECLARATION OF UNDERSTANDING</w:t>
      </w: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490"/>
      </w:tblGrid>
      <w:tr w:rsidR="00220B9A" w:rsidRPr="00E87A92" w14:paraId="5D9D77B9" w14:textId="77777777" w:rsidTr="005717E8">
        <w:trPr>
          <w:trHeight w:val="12097"/>
        </w:trPr>
        <w:tc>
          <w:tcPr>
            <w:tcW w:w="10490" w:type="dxa"/>
            <w:shd w:val="clear" w:color="auto" w:fill="F2F2F2" w:themeFill="background1" w:themeFillShade="F2"/>
          </w:tcPr>
          <w:p w14:paraId="0CBC139A" w14:textId="77777777" w:rsidR="00220B9A" w:rsidRPr="00EA4FFB" w:rsidRDefault="00220B9A" w:rsidP="000021C9">
            <w:pPr>
              <w:shd w:val="clear" w:color="auto" w:fill="F2F2F2" w:themeFill="background1" w:themeFillShade="F2"/>
              <w:ind w:left="92" w:right="91"/>
              <w:jc w:val="center"/>
              <w:rPr>
                <w:rFonts w:ascii="Segoe UI" w:hAnsi="Segoe UI" w:cs="Segoe UI"/>
                <w:b/>
                <w:bCs/>
                <w:sz w:val="16"/>
                <w:szCs w:val="16"/>
              </w:rPr>
            </w:pPr>
          </w:p>
          <w:p w14:paraId="2648ABA7" w14:textId="77777777" w:rsidR="00220B9A" w:rsidRPr="005717E8" w:rsidRDefault="00220B9A" w:rsidP="005717E8">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IMPORTANT INFORMATION ABOUT PHYSICAL HEALTH AND DEMOGRAPHIC RISKS ASSOCIATED WITH COVID 19</w:t>
            </w:r>
          </w:p>
          <w:p w14:paraId="4CEDDBB1"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p>
          <w:p w14:paraId="5C11EDB7" w14:textId="55881905" w:rsidR="00220B9A" w:rsidRPr="005717E8" w:rsidRDefault="00220B9A" w:rsidP="000021C9">
            <w:pPr>
              <w:shd w:val="clear" w:color="auto" w:fill="F2F2F2" w:themeFill="background1" w:themeFillShade="F2"/>
              <w:ind w:left="92" w:right="233"/>
              <w:rPr>
                <w:rFonts w:ascii="Muli" w:hAnsi="Muli" w:cs="Segoe UI"/>
                <w:b/>
                <w:bCs/>
                <w:sz w:val="20"/>
                <w:szCs w:val="20"/>
              </w:rPr>
            </w:pPr>
            <w:bookmarkStart w:id="0" w:name="_Hlk40258698"/>
            <w:r w:rsidRPr="005717E8">
              <w:rPr>
                <w:rFonts w:ascii="Muli" w:hAnsi="Muli" w:cs="Segoe UI"/>
                <w:b/>
                <w:bCs/>
                <w:sz w:val="20"/>
                <w:szCs w:val="20"/>
              </w:rPr>
              <w:t xml:space="preserve">Guidance on protecting people who are clinically </w:t>
            </w:r>
            <w:r w:rsidRPr="005717E8">
              <w:rPr>
                <w:rFonts w:ascii="Muli" w:hAnsi="Muli" w:cs="Segoe UI"/>
                <w:b/>
                <w:bCs/>
                <w:sz w:val="20"/>
                <w:szCs w:val="20"/>
                <w:u w:val="single"/>
              </w:rPr>
              <w:t>extremely</w:t>
            </w:r>
            <w:r w:rsidRPr="005717E8">
              <w:rPr>
                <w:rFonts w:ascii="Muli" w:hAnsi="Muli" w:cs="Segoe UI"/>
                <w:b/>
                <w:bCs/>
                <w:sz w:val="20"/>
                <w:szCs w:val="20"/>
              </w:rPr>
              <w:t xml:space="preserve"> vulnerable and clinically vulnerable from COVID-19:</w:t>
            </w:r>
          </w:p>
          <w:p w14:paraId="36D96C35"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767767E1" w14:textId="6AB6BAC4" w:rsidR="00DB48B2" w:rsidRPr="00DB48B2" w:rsidRDefault="00DB48B2" w:rsidP="00B30D44">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In relation to going to work, Government restrictions state</w:t>
            </w:r>
            <w:r w:rsidR="00B30D44">
              <w:rPr>
                <w:rFonts w:ascii="Muli" w:hAnsi="Muli" w:cs="Segoe UI"/>
                <w:sz w:val="20"/>
                <w:szCs w:val="20"/>
              </w:rPr>
              <w:t xml:space="preserve"> that ‘where peop</w:t>
            </w:r>
            <w:r w:rsidR="00B30D44" w:rsidRPr="00B30D44">
              <w:rPr>
                <w:rFonts w:ascii="Muli" w:hAnsi="Muli" w:cs="Segoe UI"/>
                <w:sz w:val="20"/>
                <w:szCs w:val="20"/>
              </w:rPr>
              <w:t>le cannot work from home they should continue to travel to their workplace</w:t>
            </w:r>
            <w:r w:rsidR="00B30D44">
              <w:rPr>
                <w:rFonts w:ascii="Muli" w:hAnsi="Muli" w:cs="Segoe UI"/>
                <w:sz w:val="20"/>
                <w:szCs w:val="20"/>
              </w:rPr>
              <w:t>’ and that ‘p</w:t>
            </w:r>
            <w:r w:rsidR="00B30D44" w:rsidRPr="00B30D44">
              <w:rPr>
                <w:rFonts w:ascii="Muli" w:hAnsi="Muli" w:cs="Segoe UI"/>
                <w:sz w:val="20"/>
                <w:szCs w:val="20"/>
              </w:rPr>
              <w:t>ublic sector employees working in essential services, including childcare or education, should continue to go into work.</w:t>
            </w:r>
            <w:r w:rsidR="00B30D44">
              <w:rPr>
                <w:rFonts w:ascii="Muli" w:hAnsi="Muli" w:cs="Segoe UI"/>
                <w:sz w:val="20"/>
                <w:szCs w:val="20"/>
              </w:rPr>
              <w:t>’</w:t>
            </w:r>
            <w:r w:rsidR="00B30D44" w:rsidRPr="00B30D44">
              <w:rPr>
                <w:rFonts w:ascii="Muli" w:hAnsi="Muli" w:cs="Segoe UI"/>
                <w:sz w:val="20"/>
                <w:szCs w:val="20"/>
              </w:rPr>
              <w:t xml:space="preserve"> </w:t>
            </w:r>
          </w:p>
          <w:p w14:paraId="5DD91B26" w14:textId="77777777" w:rsidR="00DB48B2" w:rsidRPr="00DB48B2" w:rsidRDefault="00DB48B2" w:rsidP="00DB48B2">
            <w:pPr>
              <w:shd w:val="clear" w:color="auto" w:fill="F2F2F2" w:themeFill="background1" w:themeFillShade="F2"/>
              <w:ind w:left="92" w:right="233"/>
              <w:rPr>
                <w:rFonts w:ascii="Muli" w:hAnsi="Muli" w:cs="Segoe UI"/>
                <w:sz w:val="20"/>
                <w:szCs w:val="20"/>
              </w:rPr>
            </w:pPr>
          </w:p>
          <w:p w14:paraId="7A958E28" w14:textId="3C73B7C4" w:rsidR="00DB48B2" w:rsidRDefault="00DB48B2" w:rsidP="00DB48B2">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 xml:space="preserve">Aligned with this, at WeST, staff are required to be in their settings to undertake </w:t>
            </w:r>
            <w:r w:rsidR="00B30D44">
              <w:rPr>
                <w:rFonts w:ascii="Muli" w:hAnsi="Muli" w:cs="Segoe UI"/>
                <w:sz w:val="20"/>
                <w:szCs w:val="20"/>
              </w:rPr>
              <w:t xml:space="preserve">their duties </w:t>
            </w:r>
            <w:r w:rsidRPr="00DB48B2">
              <w:rPr>
                <w:rFonts w:ascii="Muli" w:hAnsi="Muli" w:cs="Segoe UI"/>
                <w:sz w:val="20"/>
                <w:szCs w:val="20"/>
              </w:rPr>
              <w:t>directly in support of day-to-day teaching and site-based operations</w:t>
            </w:r>
            <w:r w:rsidR="00B30D44">
              <w:rPr>
                <w:rFonts w:ascii="Muli" w:hAnsi="Muli" w:cs="Segoe UI"/>
                <w:sz w:val="20"/>
                <w:szCs w:val="20"/>
              </w:rPr>
              <w:t xml:space="preserve"> except where they are able to fulfil their role whilst homeworking and they wish to do so</w:t>
            </w:r>
            <w:r w:rsidRPr="00DB48B2">
              <w:rPr>
                <w:rFonts w:ascii="Muli" w:hAnsi="Muli" w:cs="Segoe UI"/>
                <w:sz w:val="20"/>
                <w:szCs w:val="20"/>
              </w:rPr>
              <w:t xml:space="preserve">.  </w:t>
            </w:r>
            <w:r w:rsidR="00B30D44">
              <w:rPr>
                <w:rFonts w:ascii="Muli" w:hAnsi="Muli" w:cs="Segoe UI"/>
                <w:sz w:val="20"/>
                <w:szCs w:val="20"/>
              </w:rPr>
              <w:t>W</w:t>
            </w:r>
            <w:r w:rsidRPr="00DB48B2">
              <w:rPr>
                <w:rFonts w:ascii="Muli" w:hAnsi="Muli" w:cs="Segoe UI"/>
                <w:sz w:val="20"/>
                <w:szCs w:val="20"/>
              </w:rPr>
              <w:t>he</w:t>
            </w:r>
            <w:r w:rsidR="00B30D44">
              <w:rPr>
                <w:rFonts w:ascii="Muli" w:hAnsi="Muli" w:cs="Segoe UI"/>
                <w:sz w:val="20"/>
                <w:szCs w:val="20"/>
              </w:rPr>
              <w:t xml:space="preserve">ther </w:t>
            </w:r>
            <w:r w:rsidRPr="00DB48B2">
              <w:rPr>
                <w:rFonts w:ascii="Muli" w:hAnsi="Muli" w:cs="Segoe UI"/>
                <w:sz w:val="20"/>
                <w:szCs w:val="20"/>
              </w:rPr>
              <w:t xml:space="preserve">a role </w:t>
            </w:r>
            <w:r w:rsidR="00B30D44">
              <w:rPr>
                <w:rFonts w:ascii="Muli" w:hAnsi="Muli" w:cs="Segoe UI"/>
                <w:sz w:val="20"/>
                <w:szCs w:val="20"/>
              </w:rPr>
              <w:t xml:space="preserve">is </w:t>
            </w:r>
            <w:r w:rsidRPr="00DB48B2">
              <w:rPr>
                <w:rFonts w:ascii="Muli" w:hAnsi="Muli" w:cs="Segoe UI"/>
                <w:sz w:val="20"/>
                <w:szCs w:val="20"/>
              </w:rPr>
              <w:t xml:space="preserve">conducive to home working </w:t>
            </w:r>
            <w:r w:rsidR="00B30D44">
              <w:rPr>
                <w:rFonts w:ascii="Muli" w:hAnsi="Muli" w:cs="Segoe UI"/>
                <w:sz w:val="20"/>
                <w:szCs w:val="20"/>
              </w:rPr>
              <w:t xml:space="preserve">is a matter of professional judgement for the relevant line manager who </w:t>
            </w:r>
            <w:r w:rsidRPr="00DB48B2">
              <w:rPr>
                <w:rFonts w:ascii="Muli" w:hAnsi="Muli" w:cs="Segoe UI"/>
                <w:sz w:val="20"/>
                <w:szCs w:val="20"/>
              </w:rPr>
              <w:t>will consider what is feasible and appropriate within the context of their local school-based</w:t>
            </w:r>
            <w:r w:rsidR="00B30D44">
              <w:rPr>
                <w:rFonts w:ascii="Muli" w:hAnsi="Muli" w:cs="Segoe UI"/>
                <w:sz w:val="20"/>
                <w:szCs w:val="20"/>
              </w:rPr>
              <w:t xml:space="preserve"> circumstances</w:t>
            </w:r>
            <w:r>
              <w:rPr>
                <w:rFonts w:ascii="Muli" w:hAnsi="Muli" w:cs="Segoe UI"/>
                <w:sz w:val="20"/>
                <w:szCs w:val="20"/>
              </w:rPr>
              <w:t>.</w:t>
            </w:r>
          </w:p>
          <w:p w14:paraId="53F4EE5E" w14:textId="77777777" w:rsidR="005950EB" w:rsidRPr="005717E8" w:rsidRDefault="005950EB" w:rsidP="005950EB">
            <w:pPr>
              <w:ind w:left="92"/>
              <w:rPr>
                <w:rFonts w:ascii="Muli" w:hAnsi="Muli"/>
                <w:sz w:val="20"/>
                <w:szCs w:val="20"/>
              </w:rPr>
            </w:pPr>
          </w:p>
          <w:p w14:paraId="76697DF6" w14:textId="77777777" w:rsidR="005950EB" w:rsidRDefault="005950EB" w:rsidP="005950EB">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7" w:anchor="clinically-vulnerable-people" w:history="1">
              <w:r>
                <w:rPr>
                  <w:rStyle w:val="Hyperlink"/>
                  <w:rFonts w:ascii="Muli" w:hAnsi="Muli"/>
                  <w:sz w:val="20"/>
                  <w:szCs w:val="20"/>
                </w:rPr>
                <w:t>new national lockdown guidance from 4th January 2021</w:t>
              </w:r>
            </w:hyperlink>
            <w:r>
              <w:rPr>
                <w:rFonts w:ascii="Muli" w:hAnsi="Muli"/>
                <w:sz w:val="20"/>
                <w:szCs w:val="20"/>
              </w:rPr>
              <w:t xml:space="preserve"> </w:t>
            </w:r>
          </w:p>
          <w:p w14:paraId="71F6E513" w14:textId="27BEFA39" w:rsidR="00262070" w:rsidRDefault="00262070" w:rsidP="00DB48B2">
            <w:pPr>
              <w:shd w:val="clear" w:color="auto" w:fill="F2F2F2" w:themeFill="background1" w:themeFillShade="F2"/>
              <w:ind w:left="92" w:right="233"/>
              <w:rPr>
                <w:rFonts w:ascii="Muli" w:hAnsi="Muli" w:cs="Segoe UI"/>
                <w:sz w:val="20"/>
                <w:szCs w:val="20"/>
              </w:rPr>
            </w:pPr>
          </w:p>
          <w:p w14:paraId="47D5327A" w14:textId="1DE40C6A" w:rsidR="00DB48B2" w:rsidRDefault="00DB48B2" w:rsidP="00DB48B2">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 xml:space="preserve">Those who are clinically extremely vulnerable (CEV) must work from home </w:t>
            </w:r>
            <w:r w:rsidRPr="002E1414">
              <w:rPr>
                <w:rFonts w:ascii="Muli" w:hAnsi="Muli" w:cs="Segoe UI"/>
                <w:sz w:val="20"/>
                <w:szCs w:val="20"/>
              </w:rPr>
              <w:t>– if they cannot work from home, they should not attend work.</w:t>
            </w:r>
          </w:p>
          <w:p w14:paraId="0DEAC0A0" w14:textId="77777777" w:rsidR="005950EB" w:rsidRDefault="005950EB" w:rsidP="005950EB">
            <w:pPr>
              <w:ind w:left="92"/>
              <w:rPr>
                <w:rFonts w:ascii="Muli" w:hAnsi="Muli"/>
                <w:sz w:val="20"/>
                <w:szCs w:val="20"/>
              </w:rPr>
            </w:pPr>
          </w:p>
          <w:p w14:paraId="7FC3B25D" w14:textId="119EA348" w:rsidR="005950EB" w:rsidRPr="005717E8" w:rsidRDefault="005950EB" w:rsidP="005950EB">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8" w:history="1">
              <w:r>
                <w:rPr>
                  <w:rStyle w:val="Hyperlink"/>
                  <w:rFonts w:ascii="Muli" w:hAnsi="Muli"/>
                  <w:sz w:val="20"/>
                  <w:szCs w:val="20"/>
                </w:rPr>
                <w:t>new guidance on shielding and protecting the clinically extremely vulnerable</w:t>
              </w:r>
            </w:hyperlink>
            <w:r w:rsidRPr="00583F41">
              <w:rPr>
                <w:rFonts w:ascii="Muli" w:hAnsi="Muli"/>
                <w:sz w:val="20"/>
                <w:szCs w:val="20"/>
              </w:rPr>
              <w:t>.</w:t>
            </w:r>
          </w:p>
          <w:p w14:paraId="58FE4BC9" w14:textId="77777777" w:rsidR="00DB48B2" w:rsidRPr="002E1414" w:rsidRDefault="00DB48B2" w:rsidP="00DB48B2">
            <w:pPr>
              <w:shd w:val="clear" w:color="auto" w:fill="F2F2F2" w:themeFill="background1" w:themeFillShade="F2"/>
              <w:ind w:left="92" w:right="233"/>
              <w:rPr>
                <w:rFonts w:ascii="Muli" w:hAnsi="Muli" w:cs="Segoe UI"/>
                <w:sz w:val="20"/>
                <w:szCs w:val="20"/>
              </w:rPr>
            </w:pPr>
          </w:p>
          <w:p w14:paraId="2EAE3337" w14:textId="7AEC5C25" w:rsidR="00DB48B2" w:rsidRDefault="00DB48B2" w:rsidP="00DB48B2">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Those who are clinically vulnerable (CV) are expected to attend work</w:t>
            </w:r>
            <w:r w:rsidRPr="002E1414">
              <w:rPr>
                <w:rFonts w:ascii="Muli" w:hAnsi="Muli" w:cs="Segoe UI"/>
                <w:sz w:val="20"/>
                <w:szCs w:val="20"/>
              </w:rPr>
              <w:t xml:space="preserve"> </w:t>
            </w:r>
            <w:r w:rsidR="002A4CB2">
              <w:rPr>
                <w:rFonts w:ascii="Muli" w:hAnsi="Muli" w:cs="Segoe UI"/>
                <w:sz w:val="20"/>
                <w:szCs w:val="20"/>
              </w:rPr>
              <w:t xml:space="preserve">if their role cannot </w:t>
            </w:r>
            <w:r w:rsidRPr="002E1414">
              <w:rPr>
                <w:rFonts w:ascii="Muli" w:hAnsi="Muli" w:cs="Segoe UI"/>
                <w:sz w:val="20"/>
                <w:szCs w:val="20"/>
              </w:rPr>
              <w:t>be performed satisfactorily from home</w:t>
            </w:r>
            <w:r>
              <w:rPr>
                <w:rFonts w:ascii="Muli" w:hAnsi="Muli" w:cs="Segoe UI"/>
                <w:sz w:val="20"/>
                <w:szCs w:val="20"/>
              </w:rPr>
              <w:t xml:space="preserve"> </w:t>
            </w:r>
            <w:r w:rsidRPr="002E1414">
              <w:rPr>
                <w:rFonts w:ascii="Muli" w:hAnsi="Muli" w:cs="Segoe UI"/>
                <w:sz w:val="20"/>
                <w:szCs w:val="20"/>
              </w:rPr>
              <w:t xml:space="preserve">or it is not possible for the setting to implement the adjustments required by the risk assessments.  Primarily this is a decision for the employer to make in consultation with the staff member. </w:t>
            </w:r>
          </w:p>
          <w:bookmarkEnd w:id="0"/>
          <w:p w14:paraId="22DC2BF4" w14:textId="77777777" w:rsidR="005950EB" w:rsidRDefault="005950EB" w:rsidP="000021C9">
            <w:pPr>
              <w:ind w:left="92"/>
              <w:rPr>
                <w:rFonts w:ascii="Muli" w:hAnsi="Muli"/>
                <w:b/>
                <w:bCs/>
                <w:sz w:val="20"/>
                <w:szCs w:val="20"/>
                <w:highlight w:val="cyan"/>
              </w:rPr>
            </w:pPr>
          </w:p>
          <w:p w14:paraId="768DF17C" w14:textId="6DD516E4" w:rsidR="00220B9A" w:rsidRPr="005950EB" w:rsidRDefault="00262070" w:rsidP="000021C9">
            <w:pPr>
              <w:ind w:left="92"/>
              <w:rPr>
                <w:rFonts w:ascii="Muli" w:hAnsi="Muli"/>
                <w:sz w:val="20"/>
                <w:szCs w:val="20"/>
              </w:rPr>
            </w:pPr>
            <w:r w:rsidRPr="005950EB">
              <w:rPr>
                <w:rFonts w:ascii="Muli" w:hAnsi="Muli"/>
                <w:sz w:val="20"/>
                <w:szCs w:val="20"/>
                <w:highlight w:val="cyan"/>
              </w:rPr>
              <w:t>P</w:t>
            </w:r>
            <w:r w:rsidR="002F0A0D" w:rsidRPr="005950EB">
              <w:rPr>
                <w:rFonts w:ascii="Muli" w:hAnsi="Muli"/>
                <w:sz w:val="20"/>
                <w:szCs w:val="20"/>
                <w:highlight w:val="cyan"/>
              </w:rPr>
              <w:t>regnant women</w:t>
            </w:r>
            <w:r w:rsidRPr="005950EB">
              <w:rPr>
                <w:rFonts w:ascii="Muli" w:hAnsi="Muli"/>
                <w:sz w:val="20"/>
                <w:szCs w:val="20"/>
                <w:highlight w:val="cyan"/>
              </w:rPr>
              <w:t xml:space="preserve"> will fall within this category,</w:t>
            </w:r>
            <w:r w:rsidR="002F0A0D" w:rsidRPr="005950EB">
              <w:rPr>
                <w:rFonts w:ascii="Muli" w:hAnsi="Muli"/>
                <w:sz w:val="20"/>
                <w:szCs w:val="20"/>
                <w:highlight w:val="cyan"/>
              </w:rPr>
              <w:t xml:space="preserve"> </w:t>
            </w:r>
            <w:r w:rsidRPr="005950EB">
              <w:rPr>
                <w:rFonts w:ascii="Muli" w:hAnsi="Muli"/>
                <w:sz w:val="20"/>
                <w:szCs w:val="20"/>
                <w:highlight w:val="cyan"/>
              </w:rPr>
              <w:t>unless other health-related factors increase their vulnerability to CEV.  P</w:t>
            </w:r>
            <w:r w:rsidR="002F0A0D" w:rsidRPr="005950EB">
              <w:rPr>
                <w:rFonts w:ascii="Muli" w:hAnsi="Muli"/>
                <w:sz w:val="20"/>
                <w:szCs w:val="20"/>
                <w:highlight w:val="cyan"/>
              </w:rPr>
              <w:t>lease complete the Risk Assessment for New and Expectant Mothers, which incorporates Covid-19 factors.</w:t>
            </w:r>
            <w:r w:rsidRPr="005950EB">
              <w:rPr>
                <w:rFonts w:ascii="Muli" w:hAnsi="Muli"/>
                <w:sz w:val="20"/>
                <w:szCs w:val="20"/>
              </w:rPr>
              <w:t xml:space="preserve"> </w:t>
            </w:r>
          </w:p>
          <w:p w14:paraId="3F396F2F" w14:textId="77777777" w:rsidR="002F0A0D" w:rsidRPr="002F0A0D" w:rsidRDefault="002F0A0D" w:rsidP="000021C9">
            <w:pPr>
              <w:ind w:left="92"/>
              <w:rPr>
                <w:rFonts w:ascii="Muli" w:hAnsi="Muli"/>
                <w:sz w:val="20"/>
                <w:szCs w:val="20"/>
              </w:rPr>
            </w:pPr>
          </w:p>
          <w:p w14:paraId="29001ACE" w14:textId="1AEF13C2" w:rsidR="00262070" w:rsidRPr="005717E8" w:rsidRDefault="00262070" w:rsidP="00262070">
            <w:pPr>
              <w:ind w:left="92"/>
              <w:rPr>
                <w:rFonts w:ascii="Muli" w:hAnsi="Muli"/>
                <w:sz w:val="20"/>
                <w:szCs w:val="20"/>
              </w:rPr>
            </w:pPr>
            <w:r w:rsidRPr="00583F41">
              <w:rPr>
                <w:rFonts w:ascii="Muli" w:hAnsi="Muli"/>
                <w:sz w:val="20"/>
                <w:szCs w:val="20"/>
              </w:rPr>
              <w:t xml:space="preserve">School leaders should conduct </w:t>
            </w:r>
            <w:r w:rsidR="009C311A">
              <w:rPr>
                <w:rFonts w:ascii="Muli" w:hAnsi="Muli"/>
                <w:sz w:val="20"/>
                <w:szCs w:val="20"/>
              </w:rPr>
              <w:t xml:space="preserve">this </w:t>
            </w:r>
            <w:r w:rsidRPr="00583F41">
              <w:rPr>
                <w:rFonts w:ascii="Muli" w:hAnsi="Muli"/>
                <w:sz w:val="20"/>
                <w:szCs w:val="20"/>
              </w:rPr>
              <w:t xml:space="preserve">individual risk assessment </w:t>
            </w:r>
            <w:r>
              <w:rPr>
                <w:rFonts w:ascii="Muli" w:hAnsi="Muli"/>
                <w:sz w:val="20"/>
                <w:szCs w:val="20"/>
              </w:rPr>
              <w:t>with th</w:t>
            </w:r>
            <w:r w:rsidR="004E3094">
              <w:rPr>
                <w:rFonts w:ascii="Muli" w:hAnsi="Muli"/>
                <w:sz w:val="20"/>
                <w:szCs w:val="20"/>
              </w:rPr>
              <w:t xml:space="preserve">ose in the </w:t>
            </w:r>
            <w:r>
              <w:rPr>
                <w:rFonts w:ascii="Muli" w:hAnsi="Muli"/>
                <w:sz w:val="20"/>
                <w:szCs w:val="20"/>
              </w:rPr>
              <w:t xml:space="preserve">CV </w:t>
            </w:r>
            <w:r w:rsidR="004E3094">
              <w:rPr>
                <w:rFonts w:ascii="Muli" w:hAnsi="Muli"/>
                <w:sz w:val="20"/>
                <w:szCs w:val="20"/>
              </w:rPr>
              <w:t xml:space="preserve">category </w:t>
            </w:r>
            <w:r w:rsidRPr="00583F41">
              <w:rPr>
                <w:rFonts w:ascii="Muli" w:hAnsi="Muli"/>
                <w:sz w:val="20"/>
                <w:szCs w:val="20"/>
              </w:rPr>
              <w:t>to confirm the ability to</w:t>
            </w:r>
            <w:r>
              <w:rPr>
                <w:rFonts w:ascii="Muli" w:hAnsi="Muli"/>
                <w:sz w:val="20"/>
                <w:szCs w:val="20"/>
              </w:rPr>
              <w:t xml:space="preserve"> adhere to the measures outlined in the wider Risk Assessment and to consider any additional specific measures in response to individual cases.  Staff may be deployed into reasonable alternative duties or </w:t>
            </w:r>
            <w:r w:rsidRPr="00583F41">
              <w:rPr>
                <w:rFonts w:ascii="Muli" w:hAnsi="Muli"/>
                <w:sz w:val="20"/>
                <w:szCs w:val="20"/>
              </w:rPr>
              <w:t>roles in school where</w:t>
            </w:r>
            <w:r>
              <w:rPr>
                <w:rFonts w:ascii="Muli" w:hAnsi="Muli"/>
                <w:sz w:val="20"/>
                <w:szCs w:val="20"/>
              </w:rPr>
              <w:t xml:space="preserve"> measures can be maintained.</w:t>
            </w:r>
          </w:p>
          <w:p w14:paraId="3DF865B8" w14:textId="77777777" w:rsidR="00220B9A" w:rsidRPr="00583F41" w:rsidRDefault="00220B9A" w:rsidP="000021C9">
            <w:pPr>
              <w:ind w:left="92"/>
              <w:rPr>
                <w:rFonts w:ascii="Muli" w:hAnsi="Muli"/>
                <w:sz w:val="20"/>
                <w:szCs w:val="20"/>
              </w:rPr>
            </w:pPr>
          </w:p>
          <w:p w14:paraId="64B656DB" w14:textId="77777777" w:rsidR="00262070" w:rsidRPr="005717E8" w:rsidRDefault="00262070" w:rsidP="00262070">
            <w:pPr>
              <w:shd w:val="clear" w:color="auto" w:fill="F2F2F2" w:themeFill="background1" w:themeFillShade="F2"/>
              <w:ind w:left="92" w:right="233"/>
              <w:rPr>
                <w:rFonts w:ascii="Muli" w:hAnsi="Muli"/>
                <w:sz w:val="20"/>
                <w:szCs w:val="20"/>
              </w:rPr>
            </w:pPr>
            <w:r w:rsidRPr="005717E8">
              <w:rPr>
                <w:rFonts w:ascii="Muli" w:hAnsi="Muli"/>
                <w:sz w:val="20"/>
                <w:szCs w:val="20"/>
              </w:rPr>
              <w:t>People who live with those who are clinically extremely vulnerable should attend the workplace.</w:t>
            </w:r>
          </w:p>
          <w:p w14:paraId="5C34CE3D" w14:textId="42802E7A" w:rsidR="00220B9A" w:rsidRDefault="00220B9A" w:rsidP="000021C9">
            <w:pPr>
              <w:shd w:val="clear" w:color="auto" w:fill="F2F2F2" w:themeFill="background1" w:themeFillShade="F2"/>
              <w:ind w:left="92" w:right="233"/>
              <w:rPr>
                <w:rFonts w:ascii="Muli" w:hAnsi="Muli" w:cs="Segoe UI"/>
                <w:sz w:val="20"/>
                <w:szCs w:val="20"/>
              </w:rPr>
            </w:pPr>
          </w:p>
          <w:p w14:paraId="4A83CEF1" w14:textId="3E5DA714" w:rsidR="00262070" w:rsidRDefault="00262070" w:rsidP="000021C9">
            <w:pPr>
              <w:shd w:val="clear" w:color="auto" w:fill="F2F2F2" w:themeFill="background1" w:themeFillShade="F2"/>
              <w:ind w:left="92" w:right="233"/>
              <w:rPr>
                <w:rFonts w:ascii="Muli" w:hAnsi="Muli" w:cs="Segoe UI"/>
                <w:sz w:val="20"/>
                <w:szCs w:val="20"/>
              </w:rPr>
            </w:pPr>
          </w:p>
          <w:p w14:paraId="29DF920B" w14:textId="5CD264C5" w:rsidR="00B30D44" w:rsidRDefault="00B30D44" w:rsidP="000021C9">
            <w:pPr>
              <w:shd w:val="clear" w:color="auto" w:fill="F2F2F2" w:themeFill="background1" w:themeFillShade="F2"/>
              <w:ind w:left="92" w:right="233"/>
              <w:rPr>
                <w:rFonts w:ascii="Muli" w:hAnsi="Muli" w:cs="Segoe UI"/>
                <w:sz w:val="20"/>
                <w:szCs w:val="20"/>
              </w:rPr>
            </w:pPr>
          </w:p>
          <w:p w14:paraId="0E70D08E" w14:textId="18FD9C26" w:rsidR="002A4CB2" w:rsidRDefault="002A4CB2" w:rsidP="000021C9">
            <w:pPr>
              <w:shd w:val="clear" w:color="auto" w:fill="F2F2F2" w:themeFill="background1" w:themeFillShade="F2"/>
              <w:ind w:left="92" w:right="233"/>
              <w:rPr>
                <w:rFonts w:ascii="Muli" w:hAnsi="Muli" w:cs="Segoe UI"/>
                <w:sz w:val="20"/>
                <w:szCs w:val="20"/>
              </w:rPr>
            </w:pPr>
          </w:p>
          <w:p w14:paraId="545C18FF" w14:textId="77777777" w:rsidR="002A4CB2" w:rsidRDefault="002A4CB2" w:rsidP="000021C9">
            <w:pPr>
              <w:shd w:val="clear" w:color="auto" w:fill="F2F2F2" w:themeFill="background1" w:themeFillShade="F2"/>
              <w:ind w:left="92" w:right="233"/>
              <w:rPr>
                <w:rFonts w:ascii="Muli" w:hAnsi="Muli" w:cs="Segoe UI"/>
                <w:sz w:val="20"/>
                <w:szCs w:val="20"/>
              </w:rPr>
            </w:pPr>
          </w:p>
          <w:p w14:paraId="4448CCC9" w14:textId="37E50978" w:rsidR="00262070" w:rsidRDefault="00262070" w:rsidP="002A4CB2">
            <w:pPr>
              <w:shd w:val="clear" w:color="auto" w:fill="F2F2F2" w:themeFill="background1" w:themeFillShade="F2"/>
              <w:ind w:right="233"/>
              <w:rPr>
                <w:rFonts w:ascii="Muli" w:hAnsi="Muli" w:cs="Segoe UI"/>
                <w:sz w:val="20"/>
                <w:szCs w:val="20"/>
              </w:rPr>
            </w:pPr>
          </w:p>
          <w:p w14:paraId="68A92140" w14:textId="77777777" w:rsidR="00262070" w:rsidRDefault="00262070" w:rsidP="000021C9">
            <w:pPr>
              <w:shd w:val="clear" w:color="auto" w:fill="F2F2F2" w:themeFill="background1" w:themeFillShade="F2"/>
              <w:ind w:left="92" w:right="233"/>
              <w:rPr>
                <w:rFonts w:ascii="Muli" w:hAnsi="Muli" w:cs="Segoe UI"/>
                <w:sz w:val="20"/>
                <w:szCs w:val="20"/>
              </w:rPr>
            </w:pPr>
          </w:p>
          <w:p w14:paraId="3E8F7D3C" w14:textId="21C44848" w:rsidR="002F0A0D" w:rsidRDefault="002F0A0D" w:rsidP="000021C9">
            <w:pPr>
              <w:shd w:val="clear" w:color="auto" w:fill="F2F2F2" w:themeFill="background1" w:themeFillShade="F2"/>
              <w:ind w:left="92" w:right="233"/>
              <w:rPr>
                <w:rFonts w:ascii="Muli" w:hAnsi="Muli" w:cs="Segoe UI"/>
                <w:sz w:val="20"/>
                <w:szCs w:val="20"/>
              </w:rPr>
            </w:pPr>
          </w:p>
          <w:p w14:paraId="1B478E44" w14:textId="77777777" w:rsidR="00854228" w:rsidRDefault="00854228" w:rsidP="000021C9">
            <w:pPr>
              <w:shd w:val="clear" w:color="auto" w:fill="F2F2F2" w:themeFill="background1" w:themeFillShade="F2"/>
              <w:ind w:left="92" w:right="91"/>
              <w:rPr>
                <w:rFonts w:ascii="Muli" w:hAnsi="Muli" w:cs="Segoe UI"/>
                <w:b/>
                <w:bCs/>
                <w:sz w:val="20"/>
                <w:szCs w:val="20"/>
              </w:rPr>
            </w:pPr>
          </w:p>
          <w:p w14:paraId="70D8EA53" w14:textId="61EB4F21" w:rsidR="00220B9A" w:rsidRPr="005717E8" w:rsidRDefault="00220B9A" w:rsidP="000021C9">
            <w:pPr>
              <w:shd w:val="clear" w:color="auto" w:fill="F2F2F2" w:themeFill="background1" w:themeFillShade="F2"/>
              <w:ind w:left="92" w:right="91"/>
              <w:rPr>
                <w:rFonts w:ascii="Muli" w:hAnsi="Muli" w:cs="Segoe UI"/>
                <w:b/>
                <w:bCs/>
                <w:sz w:val="20"/>
                <w:szCs w:val="20"/>
              </w:rPr>
            </w:pPr>
            <w:bookmarkStart w:id="1" w:name="_GoBack"/>
            <w:bookmarkEnd w:id="1"/>
            <w:r w:rsidRPr="005717E8">
              <w:rPr>
                <w:rFonts w:ascii="Muli" w:hAnsi="Muli" w:cs="Segoe UI"/>
                <w:b/>
                <w:bCs/>
                <w:sz w:val="20"/>
                <w:szCs w:val="20"/>
              </w:rPr>
              <w:t>Demographic considerations for the Risk Assessment:</w:t>
            </w:r>
          </w:p>
          <w:p w14:paraId="4CA26F22"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0E8E444B" w14:textId="46C5E13C"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The emerging evidence suggests that alongside the list of health-related physical conditions (see links above for the clinically extremely vulnerable and the clinically vulnerable) there are key demographic factors that can also affect people’s vulnerability, or ‘risk factor’ in relation to COVID-19 health outcomes</w:t>
            </w:r>
            <w:r w:rsidR="005717E8">
              <w:rPr>
                <w:rFonts w:ascii="Muli" w:hAnsi="Muli" w:cs="Segoe UI"/>
                <w:sz w:val="20"/>
                <w:szCs w:val="20"/>
              </w:rPr>
              <w:t>.</w:t>
            </w:r>
          </w:p>
          <w:p w14:paraId="02DEBC07" w14:textId="77777777" w:rsidR="00220B9A" w:rsidRPr="005717E8" w:rsidRDefault="00220B9A" w:rsidP="000021C9">
            <w:pPr>
              <w:pStyle w:val="ListParagraph"/>
              <w:shd w:val="clear" w:color="auto" w:fill="F2F2F2" w:themeFill="background1" w:themeFillShade="F2"/>
              <w:ind w:left="92" w:right="91"/>
              <w:rPr>
                <w:rFonts w:ascii="Muli" w:hAnsi="Muli" w:cs="Segoe UI"/>
                <w:sz w:val="20"/>
                <w:szCs w:val="20"/>
              </w:rPr>
            </w:pPr>
          </w:p>
          <w:p w14:paraId="35E016A9" w14:textId="77777777"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Older people, men, and people from Black and Asian and Minority Ethnic (BAME) communities seem to be at greater risk from Covid-19. The causes of these increased risk factors are not yet fully understood, and further research is taking place. </w:t>
            </w:r>
          </w:p>
          <w:p w14:paraId="70D21B20"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47678147" w14:textId="77777777"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We are asking line managers and colleagues falling into the categories described above to carry out an individual risk assessment; this should take into consideration colleagues’ age, gender, and ethnicity risk factors – especially where there is a combination of factors. We also ask you to look again, very closely, at the health vulnerabilities described by the government, in combination with the other risk factors described.</w:t>
            </w:r>
          </w:p>
          <w:p w14:paraId="68D754EF"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27E2545B" w14:textId="292D22B6"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The risk assessment should be a meaningful conversation and exploration for the risk factors and perception of the </w:t>
            </w:r>
            <w:r w:rsidR="001137B7">
              <w:rPr>
                <w:rFonts w:ascii="Muli" w:hAnsi="Muli" w:cs="Segoe UI"/>
                <w:sz w:val="20"/>
                <w:szCs w:val="20"/>
              </w:rPr>
              <w:t>employee</w:t>
            </w:r>
            <w:r w:rsidRPr="005717E8">
              <w:rPr>
                <w:rFonts w:ascii="Muli" w:hAnsi="Muli" w:cs="Segoe UI"/>
                <w:sz w:val="20"/>
                <w:szCs w:val="20"/>
              </w:rPr>
              <w:t>. Where there is agreement that the risk factors can be mitigated to everyone’s satisfaction no change is needed. Where however it is clear there are increased risk</w:t>
            </w:r>
            <w:r w:rsidR="001137B7">
              <w:rPr>
                <w:rFonts w:ascii="Muli" w:hAnsi="Muli" w:cs="Segoe UI"/>
                <w:sz w:val="20"/>
                <w:szCs w:val="20"/>
              </w:rPr>
              <w:t>s</w:t>
            </w:r>
            <w:r w:rsidRPr="005717E8">
              <w:rPr>
                <w:rFonts w:ascii="Muli" w:hAnsi="Muli" w:cs="Segoe UI"/>
                <w:sz w:val="20"/>
                <w:szCs w:val="20"/>
              </w:rPr>
              <w:t xml:space="preserve"> for a </w:t>
            </w:r>
            <w:r w:rsidR="001137B7">
              <w:rPr>
                <w:rFonts w:ascii="Muli" w:hAnsi="Muli" w:cs="Segoe UI"/>
                <w:sz w:val="20"/>
                <w:szCs w:val="20"/>
              </w:rPr>
              <w:t xml:space="preserve">member of staff </w:t>
            </w:r>
            <w:r w:rsidRPr="005717E8">
              <w:rPr>
                <w:rFonts w:ascii="Muli" w:hAnsi="Muli" w:cs="Segoe UI"/>
                <w:sz w:val="20"/>
                <w:szCs w:val="20"/>
              </w:rPr>
              <w:t xml:space="preserve">the line manager must provide support and make necessary adjustments to mitigate those risks. </w:t>
            </w:r>
          </w:p>
          <w:p w14:paraId="30CAE061"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20EC15A" w14:textId="1331280B"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WeST HR and our OH provider can provide advice and support to the line manager and colleague</w:t>
            </w:r>
            <w:r w:rsidR="004E3094">
              <w:rPr>
                <w:rFonts w:ascii="Muli" w:hAnsi="Muli" w:cs="Segoe UI"/>
                <w:sz w:val="20"/>
                <w:szCs w:val="20"/>
              </w:rPr>
              <w:t>s</w:t>
            </w:r>
            <w:r w:rsidRPr="005717E8">
              <w:rPr>
                <w:rFonts w:ascii="Muli" w:hAnsi="Muli" w:cs="Segoe UI"/>
                <w:sz w:val="20"/>
                <w:szCs w:val="20"/>
              </w:rPr>
              <w:t xml:space="preserve"> in concluding an approach that supports the individual, and, should any adjustment to staff working arrangement place a strain on delivery, these issues </w:t>
            </w:r>
            <w:r w:rsidR="001137B7">
              <w:rPr>
                <w:rFonts w:ascii="Muli" w:hAnsi="Muli" w:cs="Segoe UI"/>
                <w:sz w:val="20"/>
                <w:szCs w:val="20"/>
              </w:rPr>
              <w:t>can</w:t>
            </w:r>
            <w:r w:rsidRPr="005717E8">
              <w:rPr>
                <w:rFonts w:ascii="Muli" w:hAnsi="Muli" w:cs="Segoe UI"/>
                <w:sz w:val="20"/>
                <w:szCs w:val="20"/>
              </w:rPr>
              <w:t xml:space="preserve"> be escalated to ensure support is provided to resolve the issues as quickly as possible.  </w:t>
            </w:r>
          </w:p>
          <w:p w14:paraId="3B1C8AEA"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5109F82A"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u w:val="single"/>
              </w:rPr>
              <w:t>Demographic factors associated with an elevated Covid-19 risk:</w:t>
            </w:r>
            <w:r w:rsidRPr="005717E8">
              <w:rPr>
                <w:rFonts w:ascii="Muli" w:hAnsi="Muli" w:cs="Segoe UI"/>
                <w:b/>
                <w:bCs/>
                <w:sz w:val="20"/>
                <w:szCs w:val="20"/>
              </w:rPr>
              <w:t xml:space="preserve">    </w:t>
            </w:r>
          </w:p>
          <w:p w14:paraId="06825634"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131AE6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Age:</w:t>
            </w:r>
          </w:p>
          <w:p w14:paraId="79FD8BDF" w14:textId="77777777"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 xml:space="preserve">The evidence shows that age is a clear risk factor. This is why the government measures are in place for the over-70s in terms of self-isolation. Compared to people in their 40s, people in their 60s could be up to eight-times more at risk, and people in their 70s could be 25-times or more at risk. In our teams we need to make sure we are taking action to reduce older colleagues’ exposure to the Coronavirus. </w:t>
            </w:r>
          </w:p>
          <w:p w14:paraId="0EEBE905"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0B5713C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Gender:</w:t>
            </w:r>
          </w:p>
          <w:p w14:paraId="269F4EAE" w14:textId="77777777"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The risk for men of becoming seriously ill from COVID-19 appears likely to be between 1.5 to 2.5 times greater than for women. This seems to increase with age from 40 up to 85. We need to consider people’s gender when assessing their risk from COVID-19, especially amongst older colleagues.</w:t>
            </w:r>
          </w:p>
          <w:p w14:paraId="489A2D52"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DC980E6"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Ethnicity:</w:t>
            </w:r>
          </w:p>
          <w:p w14:paraId="1662D6CB"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rPr>
              <w:t>Emerging data and research suggest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twice as likely to be most seriously ill, and black patients 3.4-times more likely, compared to white patients. Similar findings have emerged from studies in the US, as well. We are taking these findings very seriously and on this basis, we must take colleagues’ ethnicity into account when assessing their risk from COVID-19</w:t>
            </w:r>
          </w:p>
          <w:p w14:paraId="68D6D80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152B4E4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Religion or Beliefs:</w:t>
            </w:r>
          </w:p>
          <w:p w14:paraId="3967C92C" w14:textId="77777777" w:rsidR="00220B9A" w:rsidRPr="00EA4FFB" w:rsidRDefault="00220B9A" w:rsidP="000021C9">
            <w:pPr>
              <w:shd w:val="clear" w:color="auto" w:fill="F2F2F2" w:themeFill="background1" w:themeFillShade="F2"/>
              <w:ind w:left="92" w:right="233"/>
              <w:rPr>
                <w:rFonts w:ascii="Segoe UI" w:hAnsi="Segoe UI" w:cs="Segoe UI"/>
                <w:b/>
                <w:bCs/>
                <w:sz w:val="16"/>
                <w:szCs w:val="16"/>
              </w:rPr>
            </w:pPr>
            <w:r w:rsidRPr="005717E8">
              <w:rPr>
                <w:rFonts w:ascii="Muli" w:hAnsi="Muli" w:cs="Segoe UI"/>
                <w:sz w:val="20"/>
                <w:szCs w:val="20"/>
              </w:rPr>
              <w:t>The current situation may coincide with religious events that could impact on the ability of individual members of staff to perform their role fully. Line managers should have a thorough and comprehensive conversation with individual staff who may be affected and consider what adjustments could be made.</w:t>
            </w:r>
            <w:r w:rsidRPr="003B5F16">
              <w:rPr>
                <w:rFonts w:ascii="Muli" w:hAnsi="Muli" w:cs="Segoe UI"/>
                <w:sz w:val="16"/>
                <w:szCs w:val="16"/>
              </w:rPr>
              <w:t xml:space="preserve"> </w:t>
            </w:r>
          </w:p>
        </w:tc>
      </w:tr>
    </w:tbl>
    <w:p w14:paraId="4C77C586" w14:textId="4C656B6D" w:rsidR="00B144D9" w:rsidRDefault="00B144D9" w:rsidP="00A41C0F">
      <w:pPr>
        <w:spacing w:after="0"/>
        <w:rPr>
          <w:rFonts w:ascii="Muli" w:hAnsi="Muli" w:cs="Segoe UI"/>
          <w:sz w:val="18"/>
          <w:szCs w:val="18"/>
        </w:rPr>
      </w:pPr>
    </w:p>
    <w:p w14:paraId="69D702E5" w14:textId="78970446" w:rsidR="005717E8" w:rsidRDefault="005717E8" w:rsidP="00A41C0F">
      <w:pPr>
        <w:spacing w:after="0"/>
        <w:rPr>
          <w:rFonts w:ascii="Muli" w:hAnsi="Muli" w:cs="Segoe UI"/>
          <w:sz w:val="18"/>
          <w:szCs w:val="18"/>
        </w:rPr>
      </w:pPr>
    </w:p>
    <w:p w14:paraId="548BDFA6" w14:textId="150FC4A4" w:rsidR="005717E8" w:rsidRDefault="005717E8" w:rsidP="00A41C0F">
      <w:pPr>
        <w:spacing w:after="0"/>
        <w:rPr>
          <w:rFonts w:ascii="Muli" w:hAnsi="Muli" w:cs="Segoe UI"/>
          <w:sz w:val="18"/>
          <w:szCs w:val="18"/>
        </w:rPr>
      </w:pPr>
    </w:p>
    <w:p w14:paraId="18F7792F" w14:textId="68F0BCFD" w:rsidR="005717E8" w:rsidRDefault="005717E8" w:rsidP="00A41C0F">
      <w:pPr>
        <w:spacing w:after="0"/>
        <w:rPr>
          <w:rFonts w:ascii="Muli" w:hAnsi="Mul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410"/>
        <w:gridCol w:w="3260"/>
        <w:gridCol w:w="1362"/>
        <w:gridCol w:w="3033"/>
      </w:tblGrid>
      <w:tr w:rsidR="00E87A92" w:rsidRPr="005717E8" w14:paraId="74E0301D" w14:textId="77777777" w:rsidTr="002F62C4">
        <w:trPr>
          <w:trHeight w:val="340"/>
        </w:trPr>
        <w:tc>
          <w:tcPr>
            <w:tcW w:w="10065" w:type="dxa"/>
            <w:gridSpan w:val="4"/>
            <w:shd w:val="clear" w:color="auto" w:fill="D9D9D9" w:themeFill="background1" w:themeFillShade="D9"/>
            <w:vAlign w:val="center"/>
          </w:tcPr>
          <w:p w14:paraId="12983970" w14:textId="58F6791A" w:rsidR="00E87A92" w:rsidRPr="005717E8" w:rsidRDefault="00452888" w:rsidP="00483E0C">
            <w:pPr>
              <w:rPr>
                <w:rFonts w:ascii="Muli" w:hAnsi="Muli" w:cs="Segoe UI"/>
                <w:b/>
                <w:bCs/>
                <w:sz w:val="20"/>
                <w:szCs w:val="20"/>
              </w:rPr>
            </w:pPr>
            <w:r w:rsidRPr="005717E8">
              <w:rPr>
                <w:rFonts w:ascii="Muli" w:hAnsi="Muli" w:cs="Segoe UI"/>
                <w:b/>
                <w:bCs/>
                <w:sz w:val="20"/>
                <w:szCs w:val="20"/>
              </w:rPr>
              <w:t>Employee Details</w:t>
            </w:r>
          </w:p>
        </w:tc>
      </w:tr>
      <w:tr w:rsidR="00452888" w:rsidRPr="005717E8" w14:paraId="33D7609A" w14:textId="6EBC2836" w:rsidTr="00B24896">
        <w:trPr>
          <w:trHeight w:val="340"/>
        </w:trPr>
        <w:tc>
          <w:tcPr>
            <w:tcW w:w="2410" w:type="dxa"/>
            <w:shd w:val="clear" w:color="auto" w:fill="F2F2F2" w:themeFill="background1" w:themeFillShade="F2"/>
            <w:vAlign w:val="center"/>
          </w:tcPr>
          <w:p w14:paraId="21E95B03" w14:textId="4AB742F0" w:rsidR="00452888" w:rsidRPr="005717E8" w:rsidRDefault="00452888" w:rsidP="00483E0C">
            <w:pPr>
              <w:rPr>
                <w:rFonts w:ascii="Muli" w:hAnsi="Muli" w:cs="Segoe UI"/>
                <w:sz w:val="20"/>
                <w:szCs w:val="20"/>
              </w:rPr>
            </w:pPr>
            <w:r w:rsidRPr="005717E8">
              <w:rPr>
                <w:rFonts w:ascii="Muli" w:hAnsi="Muli" w:cs="Segoe UI"/>
                <w:sz w:val="20"/>
                <w:szCs w:val="20"/>
              </w:rPr>
              <w:t>Employee Name</w:t>
            </w:r>
          </w:p>
        </w:tc>
        <w:tc>
          <w:tcPr>
            <w:tcW w:w="3260" w:type="dxa"/>
            <w:tcBorders>
              <w:right w:val="single" w:sz="4" w:space="0" w:color="BFBFBF" w:themeColor="background1" w:themeShade="BF"/>
            </w:tcBorders>
            <w:shd w:val="clear" w:color="auto" w:fill="FFFFFF" w:themeFill="background1"/>
            <w:vAlign w:val="center"/>
          </w:tcPr>
          <w:p w14:paraId="10554F7E" w14:textId="0B4C3B24" w:rsidR="00452888" w:rsidRPr="005717E8" w:rsidRDefault="00452888" w:rsidP="00483E0C">
            <w:pPr>
              <w:rPr>
                <w:rFonts w:ascii="Muli" w:hAnsi="Muli" w:cs="Segoe UI"/>
                <w:sz w:val="20"/>
                <w:szCs w:val="20"/>
              </w:rPr>
            </w:pPr>
          </w:p>
        </w:tc>
        <w:tc>
          <w:tcPr>
            <w:tcW w:w="1362"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41549D" w14:textId="4D1F5488" w:rsidR="00452888" w:rsidRPr="005717E8" w:rsidRDefault="00452888" w:rsidP="00490259">
            <w:pPr>
              <w:rPr>
                <w:rFonts w:ascii="Muli" w:hAnsi="Muli" w:cs="Segoe UI"/>
                <w:sz w:val="20"/>
                <w:szCs w:val="20"/>
              </w:rPr>
            </w:pPr>
            <w:r w:rsidRPr="005717E8">
              <w:rPr>
                <w:rFonts w:ascii="Muli" w:hAnsi="Muli" w:cs="Segoe UI"/>
                <w:sz w:val="20"/>
                <w:szCs w:val="20"/>
              </w:rPr>
              <w:t>Date</w:t>
            </w:r>
          </w:p>
        </w:tc>
        <w:tc>
          <w:tcPr>
            <w:tcW w:w="3033" w:type="dxa"/>
            <w:tcBorders>
              <w:left w:val="single" w:sz="4" w:space="0" w:color="BFBFBF" w:themeColor="background1" w:themeShade="BF"/>
            </w:tcBorders>
            <w:shd w:val="clear" w:color="auto" w:fill="FFFFFF" w:themeFill="background1"/>
            <w:vAlign w:val="center"/>
          </w:tcPr>
          <w:p w14:paraId="435F878B" w14:textId="109375EA" w:rsidR="00452888" w:rsidRPr="005717E8" w:rsidRDefault="00452888" w:rsidP="00483E0C">
            <w:pPr>
              <w:rPr>
                <w:rFonts w:ascii="Muli" w:hAnsi="Muli" w:cs="Segoe UI"/>
                <w:sz w:val="20"/>
                <w:szCs w:val="20"/>
              </w:rPr>
            </w:pPr>
          </w:p>
        </w:tc>
      </w:tr>
      <w:tr w:rsidR="00B24896" w:rsidRPr="005717E8" w14:paraId="365189FD" w14:textId="77777777" w:rsidTr="00B24896">
        <w:trPr>
          <w:trHeight w:val="340"/>
        </w:trPr>
        <w:tc>
          <w:tcPr>
            <w:tcW w:w="2410" w:type="dxa"/>
            <w:shd w:val="clear" w:color="auto" w:fill="F2F2F2" w:themeFill="background1" w:themeFillShade="F2"/>
            <w:vAlign w:val="center"/>
          </w:tcPr>
          <w:p w14:paraId="58E00967" w14:textId="6E073E93" w:rsidR="00B24896" w:rsidRPr="005717E8" w:rsidRDefault="00B24896" w:rsidP="00483E0C">
            <w:pPr>
              <w:rPr>
                <w:rFonts w:ascii="Muli" w:hAnsi="Muli" w:cs="Segoe UI"/>
                <w:sz w:val="20"/>
                <w:szCs w:val="20"/>
              </w:rPr>
            </w:pPr>
            <w:r w:rsidRPr="005717E8">
              <w:rPr>
                <w:rFonts w:ascii="Muli" w:hAnsi="Muli" w:cs="Segoe UI"/>
                <w:sz w:val="20"/>
                <w:szCs w:val="20"/>
              </w:rPr>
              <w:t>Job Title</w:t>
            </w:r>
          </w:p>
        </w:tc>
        <w:tc>
          <w:tcPr>
            <w:tcW w:w="3260" w:type="dxa"/>
            <w:tcBorders>
              <w:bottom w:val="single" w:sz="4" w:space="0" w:color="BFBFBF" w:themeColor="background1" w:themeShade="BF"/>
            </w:tcBorders>
            <w:shd w:val="clear" w:color="auto" w:fill="FFFFFF" w:themeFill="background1"/>
            <w:vAlign w:val="center"/>
          </w:tcPr>
          <w:p w14:paraId="25D590E2" w14:textId="77777777" w:rsidR="00B24896" w:rsidRPr="005717E8" w:rsidRDefault="00B24896" w:rsidP="00483E0C">
            <w:pPr>
              <w:rPr>
                <w:rFonts w:ascii="Muli" w:hAnsi="Muli" w:cs="Segoe UI"/>
                <w:sz w:val="20"/>
                <w:szCs w:val="20"/>
              </w:rPr>
            </w:pPr>
          </w:p>
        </w:tc>
        <w:tc>
          <w:tcPr>
            <w:tcW w:w="1362" w:type="dxa"/>
            <w:tcBorders>
              <w:bottom w:val="single" w:sz="4" w:space="0" w:color="BFBFBF" w:themeColor="background1" w:themeShade="BF"/>
            </w:tcBorders>
            <w:shd w:val="clear" w:color="auto" w:fill="F2F2F2" w:themeFill="background1" w:themeFillShade="F2"/>
            <w:vAlign w:val="center"/>
          </w:tcPr>
          <w:p w14:paraId="0D23E720" w14:textId="4A936163" w:rsidR="00B24896" w:rsidRPr="005717E8" w:rsidRDefault="00B24896" w:rsidP="00483E0C">
            <w:pPr>
              <w:rPr>
                <w:rFonts w:ascii="Muli" w:hAnsi="Muli" w:cs="Segoe UI"/>
                <w:sz w:val="20"/>
                <w:szCs w:val="20"/>
              </w:rPr>
            </w:pPr>
            <w:r w:rsidRPr="005717E8">
              <w:rPr>
                <w:rFonts w:ascii="Muli" w:hAnsi="Muli" w:cs="Segoe UI"/>
                <w:sz w:val="20"/>
                <w:szCs w:val="20"/>
              </w:rPr>
              <w:t>Date of Birth</w:t>
            </w:r>
          </w:p>
        </w:tc>
        <w:tc>
          <w:tcPr>
            <w:tcW w:w="3033" w:type="dxa"/>
            <w:tcBorders>
              <w:bottom w:val="single" w:sz="4" w:space="0" w:color="BFBFBF" w:themeColor="background1" w:themeShade="BF"/>
            </w:tcBorders>
            <w:shd w:val="clear" w:color="auto" w:fill="FFFFFF" w:themeFill="background1"/>
            <w:vAlign w:val="center"/>
          </w:tcPr>
          <w:p w14:paraId="356672DE" w14:textId="77777777" w:rsidR="00B24896" w:rsidRPr="005717E8" w:rsidRDefault="00B24896" w:rsidP="00483E0C">
            <w:pPr>
              <w:rPr>
                <w:rFonts w:ascii="Muli" w:hAnsi="Muli" w:cs="Segoe UI"/>
                <w:sz w:val="20"/>
                <w:szCs w:val="20"/>
              </w:rPr>
            </w:pPr>
          </w:p>
        </w:tc>
      </w:tr>
      <w:tr w:rsidR="00452888" w:rsidRPr="005717E8" w14:paraId="467576C0" w14:textId="6F3F72EC" w:rsidTr="00B24896">
        <w:trPr>
          <w:trHeight w:val="340"/>
        </w:trPr>
        <w:tc>
          <w:tcPr>
            <w:tcW w:w="2410" w:type="dxa"/>
            <w:shd w:val="clear" w:color="auto" w:fill="F2F2F2" w:themeFill="background1" w:themeFillShade="F2"/>
            <w:vAlign w:val="center"/>
          </w:tcPr>
          <w:p w14:paraId="68A1C6E4" w14:textId="1FD3D35F" w:rsidR="00452888" w:rsidRPr="005717E8" w:rsidRDefault="00490259" w:rsidP="00483E0C">
            <w:pPr>
              <w:rPr>
                <w:rFonts w:ascii="Muli" w:hAnsi="Muli" w:cs="Segoe UI"/>
                <w:sz w:val="20"/>
                <w:szCs w:val="20"/>
              </w:rPr>
            </w:pPr>
            <w:r w:rsidRPr="005717E8">
              <w:rPr>
                <w:rFonts w:ascii="Muli" w:hAnsi="Muli" w:cs="Segoe UI"/>
                <w:sz w:val="20"/>
                <w:szCs w:val="20"/>
              </w:rPr>
              <w:t>School/Business Unit</w:t>
            </w:r>
          </w:p>
        </w:tc>
        <w:tc>
          <w:tcPr>
            <w:tcW w:w="3260" w:type="dxa"/>
            <w:shd w:val="clear" w:color="auto" w:fill="FFFFFF" w:themeFill="background1"/>
            <w:vAlign w:val="center"/>
          </w:tcPr>
          <w:p w14:paraId="2157F597" w14:textId="5F72B832" w:rsidR="00452888" w:rsidRPr="005717E8" w:rsidRDefault="00452888" w:rsidP="00483E0C">
            <w:pPr>
              <w:rPr>
                <w:rFonts w:ascii="Muli" w:hAnsi="Muli" w:cs="Segoe UI"/>
                <w:sz w:val="20"/>
                <w:szCs w:val="20"/>
              </w:rPr>
            </w:pPr>
          </w:p>
        </w:tc>
        <w:tc>
          <w:tcPr>
            <w:tcW w:w="1362" w:type="dxa"/>
            <w:shd w:val="clear" w:color="auto" w:fill="F2F2F2" w:themeFill="background1" w:themeFillShade="F2"/>
            <w:vAlign w:val="center"/>
          </w:tcPr>
          <w:p w14:paraId="56D16F80" w14:textId="4359E401" w:rsidR="00452888" w:rsidRPr="005717E8" w:rsidRDefault="00490259" w:rsidP="00483E0C">
            <w:pPr>
              <w:rPr>
                <w:rFonts w:ascii="Muli" w:hAnsi="Muli" w:cs="Segoe UI"/>
                <w:sz w:val="20"/>
                <w:szCs w:val="20"/>
              </w:rPr>
            </w:pPr>
            <w:r w:rsidRPr="005717E8">
              <w:rPr>
                <w:rFonts w:ascii="Muli" w:hAnsi="Muli" w:cs="Segoe UI"/>
                <w:sz w:val="20"/>
                <w:szCs w:val="20"/>
              </w:rPr>
              <w:t xml:space="preserve">Department </w:t>
            </w:r>
          </w:p>
        </w:tc>
        <w:tc>
          <w:tcPr>
            <w:tcW w:w="3033" w:type="dxa"/>
            <w:shd w:val="clear" w:color="auto" w:fill="FFFFFF" w:themeFill="background1"/>
            <w:vAlign w:val="center"/>
          </w:tcPr>
          <w:p w14:paraId="7028AC10" w14:textId="50653C91" w:rsidR="00452888" w:rsidRPr="005717E8" w:rsidRDefault="00452888" w:rsidP="00483E0C">
            <w:pPr>
              <w:rPr>
                <w:rFonts w:ascii="Muli" w:hAnsi="Muli" w:cs="Segoe UI"/>
                <w:sz w:val="20"/>
                <w:szCs w:val="20"/>
              </w:rPr>
            </w:pPr>
          </w:p>
        </w:tc>
      </w:tr>
      <w:tr w:rsidR="00B24896" w:rsidRPr="005717E8" w14:paraId="01D6CAF1" w14:textId="77777777" w:rsidTr="00477D47">
        <w:trPr>
          <w:trHeight w:val="340"/>
        </w:trPr>
        <w:tc>
          <w:tcPr>
            <w:tcW w:w="2410" w:type="dxa"/>
            <w:shd w:val="clear" w:color="auto" w:fill="F2F2F2" w:themeFill="background1" w:themeFillShade="F2"/>
            <w:vAlign w:val="center"/>
          </w:tcPr>
          <w:p w14:paraId="0DAA41F6" w14:textId="67A8E706" w:rsidR="00B24896" w:rsidRPr="005717E8" w:rsidRDefault="00B24896" w:rsidP="00483E0C">
            <w:pPr>
              <w:rPr>
                <w:rFonts w:ascii="Muli" w:hAnsi="Muli" w:cs="Segoe UI"/>
                <w:sz w:val="20"/>
                <w:szCs w:val="20"/>
              </w:rPr>
            </w:pPr>
            <w:r w:rsidRPr="005717E8">
              <w:rPr>
                <w:rFonts w:ascii="Muli" w:hAnsi="Muli" w:cs="Segoe UI"/>
                <w:sz w:val="20"/>
                <w:szCs w:val="20"/>
              </w:rPr>
              <w:t>Reason for Risk Assessment (</w:t>
            </w:r>
            <w:r w:rsidR="00477D47" w:rsidRPr="005717E8">
              <w:rPr>
                <w:rFonts w:ascii="Muli" w:hAnsi="Muli" w:cs="Segoe UI"/>
                <w:sz w:val="20"/>
                <w:szCs w:val="20"/>
              </w:rPr>
              <w:t>circle those that apply</w:t>
            </w:r>
            <w:r w:rsidRPr="005717E8">
              <w:rPr>
                <w:rFonts w:ascii="Muli" w:hAnsi="Muli" w:cs="Segoe UI"/>
                <w:sz w:val="20"/>
                <w:szCs w:val="20"/>
              </w:rPr>
              <w:t>)</w:t>
            </w:r>
          </w:p>
        </w:tc>
        <w:tc>
          <w:tcPr>
            <w:tcW w:w="7655" w:type="dxa"/>
            <w:gridSpan w:val="3"/>
            <w:shd w:val="clear" w:color="auto" w:fill="FFFFFF" w:themeFill="background1"/>
            <w:vAlign w:val="center"/>
          </w:tcPr>
          <w:p w14:paraId="6CF804A3" w14:textId="76CCFEEC" w:rsidR="00B24896" w:rsidRPr="005717E8" w:rsidRDefault="00B24896" w:rsidP="00483E0C">
            <w:pPr>
              <w:rPr>
                <w:rFonts w:ascii="Muli" w:hAnsi="Muli" w:cs="Segoe UI"/>
                <w:sz w:val="20"/>
                <w:szCs w:val="20"/>
              </w:rPr>
            </w:pPr>
            <w:r w:rsidRPr="005717E8">
              <w:rPr>
                <w:rFonts w:ascii="Muli" w:hAnsi="Muli" w:cs="Segoe UI"/>
                <w:sz w:val="20"/>
                <w:szCs w:val="20"/>
              </w:rPr>
              <w:t xml:space="preserve">  clinically vulnerable / demographic </w:t>
            </w:r>
            <w:r w:rsidR="00477D47" w:rsidRPr="005717E8">
              <w:rPr>
                <w:rFonts w:ascii="Muli" w:hAnsi="Muli" w:cs="Segoe UI"/>
                <w:sz w:val="20"/>
                <w:szCs w:val="20"/>
              </w:rPr>
              <w:t>factors</w:t>
            </w:r>
          </w:p>
        </w:tc>
      </w:tr>
      <w:tr w:rsidR="00477D47" w:rsidRPr="005717E8" w14:paraId="12F73B4A" w14:textId="77777777" w:rsidTr="004A429C">
        <w:trPr>
          <w:trHeight w:val="340"/>
        </w:trPr>
        <w:tc>
          <w:tcPr>
            <w:tcW w:w="2410" w:type="dxa"/>
            <w:shd w:val="clear" w:color="auto" w:fill="auto"/>
            <w:vAlign w:val="center"/>
          </w:tcPr>
          <w:p w14:paraId="6ED2B162" w14:textId="2CE295BC" w:rsidR="00477D47" w:rsidRPr="005717E8" w:rsidRDefault="003A506D" w:rsidP="00483E0C">
            <w:pPr>
              <w:rPr>
                <w:rFonts w:ascii="Muli" w:hAnsi="Muli" w:cs="Segoe UI"/>
                <w:sz w:val="20"/>
                <w:szCs w:val="20"/>
              </w:rPr>
            </w:pPr>
            <w:bookmarkStart w:id="2" w:name="_Hlk45227816"/>
            <w:r w:rsidRPr="005717E8">
              <w:rPr>
                <w:rFonts w:ascii="Muli" w:hAnsi="Muli" w:cs="Segoe UI"/>
                <w:sz w:val="20"/>
                <w:szCs w:val="20"/>
              </w:rPr>
              <w:t>Any specific concerns to be discussed and considered</w:t>
            </w:r>
          </w:p>
          <w:p w14:paraId="2B9107BA" w14:textId="56A8D375" w:rsidR="003A506D" w:rsidRDefault="003A506D" w:rsidP="00483E0C">
            <w:pPr>
              <w:rPr>
                <w:rFonts w:ascii="Muli" w:hAnsi="Muli" w:cs="Segoe UI"/>
                <w:sz w:val="20"/>
                <w:szCs w:val="20"/>
              </w:rPr>
            </w:pPr>
          </w:p>
          <w:p w14:paraId="25C519C1" w14:textId="1579CA52" w:rsidR="004E3094" w:rsidRDefault="004E3094" w:rsidP="00483E0C">
            <w:pPr>
              <w:rPr>
                <w:rFonts w:ascii="Muli" w:hAnsi="Muli" w:cs="Segoe UI"/>
                <w:sz w:val="20"/>
                <w:szCs w:val="20"/>
              </w:rPr>
            </w:pPr>
          </w:p>
          <w:p w14:paraId="7C537105" w14:textId="2823C6BA" w:rsidR="004E3094" w:rsidRDefault="004E3094" w:rsidP="00483E0C">
            <w:pPr>
              <w:rPr>
                <w:rFonts w:ascii="Muli" w:hAnsi="Muli" w:cs="Segoe UI"/>
                <w:sz w:val="20"/>
                <w:szCs w:val="20"/>
              </w:rPr>
            </w:pPr>
          </w:p>
          <w:p w14:paraId="7F8B956C" w14:textId="28F057DB" w:rsidR="004E3094" w:rsidRDefault="004E3094" w:rsidP="00483E0C">
            <w:pPr>
              <w:rPr>
                <w:rFonts w:ascii="Muli" w:hAnsi="Muli" w:cs="Segoe UI"/>
                <w:sz w:val="20"/>
                <w:szCs w:val="20"/>
              </w:rPr>
            </w:pPr>
          </w:p>
          <w:p w14:paraId="27673DB5" w14:textId="3EB717BB" w:rsidR="004E3094" w:rsidRDefault="004E3094" w:rsidP="00483E0C">
            <w:pPr>
              <w:rPr>
                <w:rFonts w:ascii="Muli" w:hAnsi="Muli" w:cs="Segoe UI"/>
                <w:sz w:val="20"/>
                <w:szCs w:val="20"/>
              </w:rPr>
            </w:pPr>
          </w:p>
          <w:p w14:paraId="111625A5" w14:textId="19AEF413" w:rsidR="004E3094" w:rsidRDefault="004E3094" w:rsidP="00483E0C">
            <w:pPr>
              <w:rPr>
                <w:rFonts w:ascii="Muli" w:hAnsi="Muli" w:cs="Segoe UI"/>
                <w:sz w:val="20"/>
                <w:szCs w:val="20"/>
              </w:rPr>
            </w:pPr>
          </w:p>
          <w:p w14:paraId="67D63B2A" w14:textId="77777777" w:rsidR="004E3094" w:rsidRPr="005717E8" w:rsidRDefault="004E3094" w:rsidP="00483E0C">
            <w:pPr>
              <w:rPr>
                <w:rFonts w:ascii="Muli" w:hAnsi="Muli" w:cs="Segoe UI"/>
                <w:sz w:val="20"/>
                <w:szCs w:val="20"/>
              </w:rPr>
            </w:pPr>
          </w:p>
          <w:p w14:paraId="7F5C9BE1" w14:textId="77777777" w:rsidR="003A506D" w:rsidRPr="005717E8" w:rsidRDefault="003A506D" w:rsidP="00483E0C">
            <w:pPr>
              <w:rPr>
                <w:rFonts w:ascii="Muli" w:hAnsi="Muli" w:cs="Segoe UI"/>
                <w:sz w:val="20"/>
                <w:szCs w:val="20"/>
              </w:rPr>
            </w:pPr>
          </w:p>
          <w:p w14:paraId="6EBFCE8D" w14:textId="77777777" w:rsidR="003A506D" w:rsidRPr="005717E8" w:rsidRDefault="003A506D" w:rsidP="00483E0C">
            <w:pPr>
              <w:rPr>
                <w:rFonts w:ascii="Muli" w:hAnsi="Muli" w:cs="Segoe UI"/>
                <w:sz w:val="20"/>
                <w:szCs w:val="20"/>
              </w:rPr>
            </w:pPr>
          </w:p>
          <w:p w14:paraId="48A7C750" w14:textId="77777777" w:rsidR="003A506D" w:rsidRPr="005717E8" w:rsidRDefault="003A506D" w:rsidP="00483E0C">
            <w:pPr>
              <w:rPr>
                <w:rFonts w:ascii="Muli" w:hAnsi="Muli" w:cs="Segoe UI"/>
                <w:sz w:val="20"/>
                <w:szCs w:val="20"/>
              </w:rPr>
            </w:pPr>
          </w:p>
          <w:p w14:paraId="06A500D3" w14:textId="77777777" w:rsidR="003A506D" w:rsidRPr="005717E8" w:rsidRDefault="003A506D" w:rsidP="00483E0C">
            <w:pPr>
              <w:rPr>
                <w:rFonts w:ascii="Muli" w:hAnsi="Muli" w:cs="Segoe UI"/>
                <w:sz w:val="20"/>
                <w:szCs w:val="20"/>
              </w:rPr>
            </w:pPr>
          </w:p>
          <w:p w14:paraId="3A3AADB8" w14:textId="679628B8" w:rsidR="003A506D" w:rsidRPr="005717E8" w:rsidRDefault="003A506D" w:rsidP="00483E0C">
            <w:pPr>
              <w:rPr>
                <w:rFonts w:ascii="Muli" w:hAnsi="Muli" w:cs="Segoe UI"/>
                <w:sz w:val="20"/>
                <w:szCs w:val="20"/>
              </w:rPr>
            </w:pPr>
          </w:p>
        </w:tc>
        <w:tc>
          <w:tcPr>
            <w:tcW w:w="7655" w:type="dxa"/>
            <w:gridSpan w:val="3"/>
            <w:shd w:val="clear" w:color="auto" w:fill="FFFFFF" w:themeFill="background1"/>
            <w:vAlign w:val="center"/>
          </w:tcPr>
          <w:p w14:paraId="012087D6" w14:textId="77777777" w:rsidR="00477D47" w:rsidRDefault="00477D47" w:rsidP="00483E0C">
            <w:pPr>
              <w:rPr>
                <w:rFonts w:ascii="Muli" w:hAnsi="Muli" w:cs="Segoe UI"/>
                <w:sz w:val="20"/>
                <w:szCs w:val="20"/>
              </w:rPr>
            </w:pPr>
          </w:p>
          <w:p w14:paraId="3CD79C85" w14:textId="77777777" w:rsidR="004E3094" w:rsidRDefault="004E3094" w:rsidP="00483E0C">
            <w:pPr>
              <w:rPr>
                <w:rFonts w:ascii="Muli" w:hAnsi="Muli" w:cs="Segoe UI"/>
                <w:sz w:val="20"/>
                <w:szCs w:val="20"/>
              </w:rPr>
            </w:pPr>
          </w:p>
          <w:p w14:paraId="2B0155A1" w14:textId="77777777" w:rsidR="004E3094" w:rsidRDefault="004E3094" w:rsidP="00483E0C">
            <w:pPr>
              <w:rPr>
                <w:rFonts w:ascii="Muli" w:hAnsi="Muli" w:cs="Segoe UI"/>
                <w:sz w:val="20"/>
                <w:szCs w:val="20"/>
              </w:rPr>
            </w:pPr>
          </w:p>
          <w:p w14:paraId="1AAB4E27" w14:textId="77777777" w:rsidR="004E3094" w:rsidRDefault="004E3094" w:rsidP="00483E0C">
            <w:pPr>
              <w:rPr>
                <w:rFonts w:ascii="Muli" w:hAnsi="Muli" w:cs="Segoe UI"/>
                <w:sz w:val="20"/>
                <w:szCs w:val="20"/>
              </w:rPr>
            </w:pPr>
          </w:p>
          <w:p w14:paraId="504EDDEF" w14:textId="77777777" w:rsidR="004E3094" w:rsidRDefault="004E3094" w:rsidP="00483E0C">
            <w:pPr>
              <w:rPr>
                <w:rFonts w:ascii="Muli" w:hAnsi="Muli" w:cs="Segoe UI"/>
                <w:sz w:val="20"/>
                <w:szCs w:val="20"/>
              </w:rPr>
            </w:pPr>
          </w:p>
          <w:p w14:paraId="623DEEBC" w14:textId="77777777" w:rsidR="004E3094" w:rsidRDefault="004E3094" w:rsidP="00483E0C">
            <w:pPr>
              <w:rPr>
                <w:rFonts w:ascii="Muli" w:hAnsi="Muli" w:cs="Segoe UI"/>
                <w:sz w:val="20"/>
                <w:szCs w:val="20"/>
              </w:rPr>
            </w:pPr>
          </w:p>
          <w:p w14:paraId="7F2D059F" w14:textId="77777777" w:rsidR="004E3094" w:rsidRDefault="004E3094" w:rsidP="00483E0C">
            <w:pPr>
              <w:rPr>
                <w:rFonts w:ascii="Muli" w:hAnsi="Muli" w:cs="Segoe UI"/>
                <w:sz w:val="20"/>
                <w:szCs w:val="20"/>
              </w:rPr>
            </w:pPr>
          </w:p>
          <w:p w14:paraId="416CE3CA" w14:textId="77777777" w:rsidR="004E3094" w:rsidRDefault="004E3094" w:rsidP="00483E0C">
            <w:pPr>
              <w:rPr>
                <w:rFonts w:ascii="Muli" w:hAnsi="Muli" w:cs="Segoe UI"/>
                <w:sz w:val="20"/>
                <w:szCs w:val="20"/>
              </w:rPr>
            </w:pPr>
          </w:p>
          <w:p w14:paraId="7C3E7F1B" w14:textId="77777777" w:rsidR="004E3094" w:rsidRDefault="004E3094" w:rsidP="00483E0C">
            <w:pPr>
              <w:rPr>
                <w:rFonts w:ascii="Muli" w:hAnsi="Muli" w:cs="Segoe UI"/>
                <w:sz w:val="20"/>
                <w:szCs w:val="20"/>
              </w:rPr>
            </w:pPr>
          </w:p>
          <w:p w14:paraId="66F5B933" w14:textId="77777777" w:rsidR="004E3094" w:rsidRDefault="004E3094" w:rsidP="00483E0C">
            <w:pPr>
              <w:rPr>
                <w:rFonts w:ascii="Muli" w:hAnsi="Muli" w:cs="Segoe UI"/>
                <w:sz w:val="20"/>
                <w:szCs w:val="20"/>
              </w:rPr>
            </w:pPr>
          </w:p>
          <w:p w14:paraId="48DA143C" w14:textId="77777777" w:rsidR="004E3094" w:rsidRDefault="004E3094" w:rsidP="00483E0C">
            <w:pPr>
              <w:rPr>
                <w:rFonts w:ascii="Muli" w:hAnsi="Muli" w:cs="Segoe UI"/>
                <w:sz w:val="20"/>
                <w:szCs w:val="20"/>
              </w:rPr>
            </w:pPr>
          </w:p>
          <w:p w14:paraId="51DEF829" w14:textId="77777777" w:rsidR="004E3094" w:rsidRDefault="004E3094" w:rsidP="00483E0C">
            <w:pPr>
              <w:rPr>
                <w:rFonts w:ascii="Muli" w:hAnsi="Muli" w:cs="Segoe UI"/>
                <w:sz w:val="20"/>
                <w:szCs w:val="20"/>
              </w:rPr>
            </w:pPr>
          </w:p>
          <w:p w14:paraId="2F9B7F97" w14:textId="77777777" w:rsidR="004E3094" w:rsidRDefault="004E3094" w:rsidP="00483E0C">
            <w:pPr>
              <w:rPr>
                <w:rFonts w:ascii="Muli" w:hAnsi="Muli" w:cs="Segoe UI"/>
                <w:sz w:val="20"/>
                <w:szCs w:val="20"/>
              </w:rPr>
            </w:pPr>
          </w:p>
          <w:p w14:paraId="2A008756" w14:textId="77777777" w:rsidR="004E3094" w:rsidRDefault="004E3094" w:rsidP="00483E0C">
            <w:pPr>
              <w:rPr>
                <w:rFonts w:ascii="Muli" w:hAnsi="Muli" w:cs="Segoe UI"/>
                <w:sz w:val="20"/>
                <w:szCs w:val="20"/>
              </w:rPr>
            </w:pPr>
          </w:p>
          <w:p w14:paraId="5C811FD1" w14:textId="77777777" w:rsidR="004E3094" w:rsidRDefault="004E3094" w:rsidP="00483E0C">
            <w:pPr>
              <w:rPr>
                <w:rFonts w:ascii="Muli" w:hAnsi="Muli" w:cs="Segoe UI"/>
                <w:sz w:val="20"/>
                <w:szCs w:val="20"/>
              </w:rPr>
            </w:pPr>
          </w:p>
          <w:p w14:paraId="782733B2" w14:textId="7154C7C7" w:rsidR="004E3094" w:rsidRPr="005717E8" w:rsidRDefault="004E3094" w:rsidP="00483E0C">
            <w:pPr>
              <w:rPr>
                <w:rFonts w:ascii="Muli" w:hAnsi="Muli" w:cs="Segoe UI"/>
                <w:sz w:val="20"/>
                <w:szCs w:val="20"/>
              </w:rPr>
            </w:pPr>
          </w:p>
        </w:tc>
      </w:tr>
      <w:bookmarkEnd w:id="2"/>
      <w:tr w:rsidR="003A506D" w:rsidRPr="005717E8" w14:paraId="790477AD" w14:textId="77777777" w:rsidTr="001137B7">
        <w:trPr>
          <w:trHeight w:val="487"/>
        </w:trPr>
        <w:tc>
          <w:tcPr>
            <w:tcW w:w="10065" w:type="dxa"/>
            <w:gridSpan w:val="4"/>
            <w:shd w:val="clear" w:color="auto" w:fill="F2F2F2" w:themeFill="background1" w:themeFillShade="F2"/>
            <w:vAlign w:val="center"/>
          </w:tcPr>
          <w:p w14:paraId="36CD3203" w14:textId="63712F1C" w:rsidR="003A506D" w:rsidRPr="005717E8" w:rsidRDefault="003A506D" w:rsidP="001137B7">
            <w:pPr>
              <w:rPr>
                <w:rFonts w:ascii="Muli" w:hAnsi="Muli" w:cs="Segoe UI"/>
                <w:sz w:val="20"/>
                <w:szCs w:val="20"/>
              </w:rPr>
            </w:pPr>
            <w:r w:rsidRPr="005717E8">
              <w:rPr>
                <w:rFonts w:ascii="Muli" w:hAnsi="Muli" w:cs="Segoe UI"/>
                <w:b/>
                <w:bCs/>
                <w:sz w:val="20"/>
                <w:szCs w:val="20"/>
              </w:rPr>
              <w:t>Measures</w:t>
            </w:r>
          </w:p>
        </w:tc>
      </w:tr>
      <w:tr w:rsidR="003A506D" w:rsidRPr="005717E8" w14:paraId="287435A3" w14:textId="77777777" w:rsidTr="000021C9">
        <w:trPr>
          <w:trHeight w:val="340"/>
        </w:trPr>
        <w:tc>
          <w:tcPr>
            <w:tcW w:w="2410" w:type="dxa"/>
            <w:shd w:val="clear" w:color="auto" w:fill="F2F2F2" w:themeFill="background1" w:themeFillShade="F2"/>
            <w:vAlign w:val="center"/>
          </w:tcPr>
          <w:p w14:paraId="36B7D885" w14:textId="3FBE5D5C" w:rsidR="003A506D" w:rsidRPr="005717E8" w:rsidRDefault="003A506D" w:rsidP="003A506D">
            <w:pPr>
              <w:rPr>
                <w:rFonts w:ascii="Muli" w:hAnsi="Muli" w:cs="Segoe UI"/>
                <w:sz w:val="20"/>
                <w:szCs w:val="20"/>
              </w:rPr>
            </w:pPr>
            <w:r w:rsidRPr="005717E8">
              <w:rPr>
                <w:rFonts w:ascii="Muli" w:hAnsi="Muli" w:cs="Segoe UI"/>
                <w:sz w:val="20"/>
                <w:szCs w:val="20"/>
              </w:rPr>
              <w:t>Comment on</w:t>
            </w:r>
            <w:r w:rsidR="004A429C" w:rsidRPr="005717E8">
              <w:rPr>
                <w:rFonts w:ascii="Muli" w:hAnsi="Muli" w:cs="Segoe UI"/>
                <w:sz w:val="20"/>
                <w:szCs w:val="20"/>
              </w:rPr>
              <w:t xml:space="preserve"> the</w:t>
            </w:r>
            <w:r w:rsidRPr="005717E8">
              <w:rPr>
                <w:rFonts w:ascii="Muli" w:hAnsi="Muli" w:cs="Segoe UI"/>
                <w:sz w:val="20"/>
                <w:szCs w:val="20"/>
              </w:rPr>
              <w:t xml:space="preserve"> ability to implement measures as described by the </w:t>
            </w:r>
            <w:r w:rsidR="004A429C" w:rsidRPr="005717E8">
              <w:rPr>
                <w:rFonts w:ascii="Muli" w:hAnsi="Muli" w:cs="Segoe UI"/>
                <w:sz w:val="20"/>
                <w:szCs w:val="20"/>
              </w:rPr>
              <w:t xml:space="preserve">wider </w:t>
            </w:r>
            <w:r w:rsidRPr="005717E8">
              <w:rPr>
                <w:rFonts w:ascii="Muli" w:hAnsi="Muli" w:cs="Segoe UI"/>
                <w:sz w:val="20"/>
                <w:szCs w:val="20"/>
              </w:rPr>
              <w:t>school/business unit-based risk assessment</w:t>
            </w:r>
            <w:r w:rsidR="004A429C" w:rsidRPr="005717E8">
              <w:rPr>
                <w:rFonts w:ascii="Muli" w:hAnsi="Muli" w:cs="Segoe UI"/>
                <w:sz w:val="20"/>
                <w:szCs w:val="20"/>
              </w:rPr>
              <w:t xml:space="preserve"> and any difficulties in this regard</w:t>
            </w:r>
          </w:p>
        </w:tc>
        <w:tc>
          <w:tcPr>
            <w:tcW w:w="7655" w:type="dxa"/>
            <w:gridSpan w:val="3"/>
            <w:shd w:val="clear" w:color="auto" w:fill="FFFFFF" w:themeFill="background1"/>
            <w:vAlign w:val="center"/>
          </w:tcPr>
          <w:p w14:paraId="24FDF7ED" w14:textId="77777777" w:rsidR="003A506D" w:rsidRPr="005717E8" w:rsidRDefault="003A506D" w:rsidP="000021C9">
            <w:pPr>
              <w:rPr>
                <w:rFonts w:ascii="Muli" w:hAnsi="Muli" w:cs="Segoe UI"/>
                <w:sz w:val="20"/>
                <w:szCs w:val="20"/>
              </w:rPr>
            </w:pPr>
          </w:p>
          <w:p w14:paraId="7BC2F2D5" w14:textId="77777777" w:rsidR="00220B9A" w:rsidRPr="005717E8" w:rsidRDefault="00220B9A" w:rsidP="000021C9">
            <w:pPr>
              <w:rPr>
                <w:rFonts w:ascii="Muli" w:hAnsi="Muli" w:cs="Segoe UI"/>
                <w:sz w:val="20"/>
                <w:szCs w:val="20"/>
              </w:rPr>
            </w:pPr>
          </w:p>
          <w:p w14:paraId="4B9AAC41" w14:textId="77777777" w:rsidR="00220B9A" w:rsidRPr="005717E8" w:rsidRDefault="00220B9A" w:rsidP="000021C9">
            <w:pPr>
              <w:rPr>
                <w:rFonts w:ascii="Muli" w:hAnsi="Muli" w:cs="Segoe UI"/>
                <w:sz w:val="20"/>
                <w:szCs w:val="20"/>
              </w:rPr>
            </w:pPr>
          </w:p>
          <w:p w14:paraId="2CC2D672" w14:textId="77777777" w:rsidR="00220B9A" w:rsidRPr="005717E8" w:rsidRDefault="00220B9A" w:rsidP="000021C9">
            <w:pPr>
              <w:rPr>
                <w:rFonts w:ascii="Muli" w:hAnsi="Muli" w:cs="Segoe UI"/>
                <w:sz w:val="20"/>
                <w:szCs w:val="20"/>
              </w:rPr>
            </w:pPr>
          </w:p>
          <w:p w14:paraId="08D95CCC" w14:textId="77777777" w:rsidR="00220B9A" w:rsidRPr="005717E8" w:rsidRDefault="00220B9A" w:rsidP="000021C9">
            <w:pPr>
              <w:rPr>
                <w:rFonts w:ascii="Muli" w:hAnsi="Muli" w:cs="Segoe UI"/>
                <w:sz w:val="20"/>
                <w:szCs w:val="20"/>
              </w:rPr>
            </w:pPr>
          </w:p>
          <w:p w14:paraId="7364338B" w14:textId="60AE7EF3" w:rsidR="00220B9A" w:rsidRDefault="00220B9A" w:rsidP="000021C9">
            <w:pPr>
              <w:rPr>
                <w:rFonts w:ascii="Muli" w:hAnsi="Muli" w:cs="Segoe UI"/>
                <w:sz w:val="20"/>
                <w:szCs w:val="20"/>
              </w:rPr>
            </w:pPr>
          </w:p>
          <w:p w14:paraId="21490AF1" w14:textId="0A359127" w:rsidR="004E3094" w:rsidRDefault="004E3094" w:rsidP="000021C9">
            <w:pPr>
              <w:rPr>
                <w:rFonts w:ascii="Muli" w:hAnsi="Muli" w:cs="Segoe UI"/>
                <w:sz w:val="20"/>
                <w:szCs w:val="20"/>
              </w:rPr>
            </w:pPr>
          </w:p>
          <w:p w14:paraId="440E313A" w14:textId="6F83506A" w:rsidR="004E3094" w:rsidRDefault="004E3094" w:rsidP="000021C9">
            <w:pPr>
              <w:rPr>
                <w:rFonts w:ascii="Muli" w:hAnsi="Muli" w:cs="Segoe UI"/>
                <w:sz w:val="20"/>
                <w:szCs w:val="20"/>
              </w:rPr>
            </w:pPr>
          </w:p>
          <w:p w14:paraId="1BB0E440" w14:textId="77777777" w:rsidR="004E3094" w:rsidRPr="005717E8" w:rsidRDefault="004E3094" w:rsidP="000021C9">
            <w:pPr>
              <w:rPr>
                <w:rFonts w:ascii="Muli" w:hAnsi="Muli" w:cs="Segoe UI"/>
                <w:sz w:val="20"/>
                <w:szCs w:val="20"/>
              </w:rPr>
            </w:pPr>
          </w:p>
          <w:p w14:paraId="5C697A7A" w14:textId="77777777" w:rsidR="00220B9A" w:rsidRDefault="00220B9A" w:rsidP="000021C9">
            <w:pPr>
              <w:rPr>
                <w:rFonts w:ascii="Muli" w:hAnsi="Muli" w:cs="Segoe UI"/>
                <w:sz w:val="20"/>
                <w:szCs w:val="20"/>
              </w:rPr>
            </w:pPr>
          </w:p>
          <w:p w14:paraId="45FA2542" w14:textId="5587F908" w:rsidR="004E3094" w:rsidRPr="005717E8" w:rsidRDefault="004E3094" w:rsidP="000021C9">
            <w:pPr>
              <w:rPr>
                <w:rFonts w:ascii="Muli" w:hAnsi="Muli" w:cs="Segoe UI"/>
                <w:sz w:val="20"/>
                <w:szCs w:val="20"/>
              </w:rPr>
            </w:pPr>
          </w:p>
        </w:tc>
      </w:tr>
      <w:tr w:rsidR="004A429C" w:rsidRPr="005717E8" w14:paraId="7322D2AC" w14:textId="77777777" w:rsidTr="004E3094">
        <w:trPr>
          <w:trHeight w:val="1916"/>
        </w:trPr>
        <w:tc>
          <w:tcPr>
            <w:tcW w:w="2410" w:type="dxa"/>
            <w:shd w:val="clear" w:color="auto" w:fill="F2F2F2" w:themeFill="background1" w:themeFillShade="F2"/>
            <w:vAlign w:val="center"/>
          </w:tcPr>
          <w:p w14:paraId="02BBF79A" w14:textId="482F6826" w:rsidR="004A429C" w:rsidRDefault="004A429C" w:rsidP="003A506D">
            <w:pPr>
              <w:rPr>
                <w:rFonts w:ascii="Muli" w:hAnsi="Muli" w:cs="Segoe UI"/>
                <w:sz w:val="20"/>
                <w:szCs w:val="20"/>
              </w:rPr>
            </w:pPr>
            <w:r w:rsidRPr="005717E8">
              <w:rPr>
                <w:rFonts w:ascii="Muli" w:hAnsi="Muli" w:cs="Segoe UI"/>
                <w:sz w:val="20"/>
                <w:szCs w:val="20"/>
              </w:rPr>
              <w:t>Comment on any additional and specific measures to be implemented to lower risk</w:t>
            </w:r>
          </w:p>
          <w:p w14:paraId="5DBB61A7" w14:textId="77777777" w:rsidR="004E3094" w:rsidRPr="005717E8" w:rsidRDefault="004E3094" w:rsidP="003A506D">
            <w:pPr>
              <w:rPr>
                <w:rFonts w:ascii="Muli" w:hAnsi="Muli" w:cs="Segoe UI"/>
                <w:sz w:val="20"/>
                <w:szCs w:val="20"/>
              </w:rPr>
            </w:pPr>
          </w:p>
          <w:p w14:paraId="79150C3C" w14:textId="77777777" w:rsidR="004A429C" w:rsidRPr="005717E8" w:rsidRDefault="004A429C" w:rsidP="003A506D">
            <w:pPr>
              <w:rPr>
                <w:rFonts w:ascii="Muli" w:hAnsi="Muli" w:cs="Segoe UI"/>
                <w:sz w:val="20"/>
                <w:szCs w:val="20"/>
              </w:rPr>
            </w:pPr>
          </w:p>
          <w:p w14:paraId="6FC70882" w14:textId="00167863" w:rsidR="004A429C" w:rsidRPr="005717E8" w:rsidRDefault="004A429C" w:rsidP="003A506D">
            <w:pPr>
              <w:rPr>
                <w:rFonts w:ascii="Muli" w:hAnsi="Muli" w:cs="Segoe UI"/>
                <w:sz w:val="20"/>
                <w:szCs w:val="20"/>
              </w:rPr>
            </w:pPr>
          </w:p>
        </w:tc>
        <w:tc>
          <w:tcPr>
            <w:tcW w:w="7655" w:type="dxa"/>
            <w:gridSpan w:val="3"/>
            <w:shd w:val="clear" w:color="auto" w:fill="FFFFFF" w:themeFill="background1"/>
            <w:vAlign w:val="center"/>
          </w:tcPr>
          <w:p w14:paraId="1BACFA3E" w14:textId="406E3E6C" w:rsidR="004A429C" w:rsidRPr="005717E8" w:rsidRDefault="004A429C" w:rsidP="000021C9">
            <w:pPr>
              <w:rPr>
                <w:rFonts w:ascii="Muli" w:hAnsi="Muli" w:cs="Segoe UI"/>
                <w:sz w:val="20"/>
                <w:szCs w:val="20"/>
              </w:rPr>
            </w:pPr>
          </w:p>
          <w:p w14:paraId="605D8362" w14:textId="6C313AE5" w:rsidR="00220B9A" w:rsidRDefault="00220B9A" w:rsidP="000021C9">
            <w:pPr>
              <w:rPr>
                <w:rFonts w:ascii="Muli" w:hAnsi="Muli" w:cs="Segoe UI"/>
                <w:sz w:val="20"/>
                <w:szCs w:val="20"/>
              </w:rPr>
            </w:pPr>
          </w:p>
          <w:p w14:paraId="37AD669E" w14:textId="124685F5" w:rsidR="004E3094" w:rsidRDefault="004E3094" w:rsidP="000021C9">
            <w:pPr>
              <w:rPr>
                <w:rFonts w:ascii="Muli" w:hAnsi="Muli" w:cs="Segoe UI"/>
                <w:sz w:val="20"/>
                <w:szCs w:val="20"/>
              </w:rPr>
            </w:pPr>
          </w:p>
          <w:p w14:paraId="368DB137" w14:textId="74D46112" w:rsidR="004E3094" w:rsidRDefault="004E3094" w:rsidP="000021C9">
            <w:pPr>
              <w:rPr>
                <w:rFonts w:ascii="Muli" w:hAnsi="Muli" w:cs="Segoe UI"/>
                <w:sz w:val="20"/>
                <w:szCs w:val="20"/>
              </w:rPr>
            </w:pPr>
          </w:p>
          <w:p w14:paraId="129CE46E" w14:textId="27F4113A" w:rsidR="004E3094" w:rsidRDefault="004E3094" w:rsidP="000021C9">
            <w:pPr>
              <w:rPr>
                <w:rFonts w:ascii="Muli" w:hAnsi="Muli" w:cs="Segoe UI"/>
                <w:sz w:val="20"/>
                <w:szCs w:val="20"/>
              </w:rPr>
            </w:pPr>
          </w:p>
          <w:p w14:paraId="59459990" w14:textId="5E210BB1" w:rsidR="004E3094" w:rsidRDefault="004E3094" w:rsidP="000021C9">
            <w:pPr>
              <w:rPr>
                <w:rFonts w:ascii="Muli" w:hAnsi="Muli" w:cs="Segoe UI"/>
                <w:sz w:val="20"/>
                <w:szCs w:val="20"/>
              </w:rPr>
            </w:pPr>
          </w:p>
          <w:p w14:paraId="34CA7219" w14:textId="77777777" w:rsidR="004E3094" w:rsidRPr="005717E8" w:rsidRDefault="004E3094" w:rsidP="000021C9">
            <w:pPr>
              <w:rPr>
                <w:rFonts w:ascii="Muli" w:hAnsi="Muli" w:cs="Segoe UI"/>
                <w:sz w:val="20"/>
                <w:szCs w:val="20"/>
              </w:rPr>
            </w:pPr>
          </w:p>
          <w:p w14:paraId="0302131A" w14:textId="77777777" w:rsidR="00220B9A" w:rsidRPr="005717E8" w:rsidRDefault="00220B9A" w:rsidP="000021C9">
            <w:pPr>
              <w:rPr>
                <w:rFonts w:ascii="Muli" w:hAnsi="Muli" w:cs="Segoe UI"/>
                <w:sz w:val="20"/>
                <w:szCs w:val="20"/>
              </w:rPr>
            </w:pPr>
          </w:p>
          <w:p w14:paraId="2E3C9DDA" w14:textId="77777777" w:rsidR="00220B9A" w:rsidRPr="005717E8" w:rsidRDefault="00220B9A" w:rsidP="000021C9">
            <w:pPr>
              <w:rPr>
                <w:rFonts w:ascii="Muli" w:hAnsi="Muli" w:cs="Segoe UI"/>
                <w:sz w:val="20"/>
                <w:szCs w:val="20"/>
              </w:rPr>
            </w:pPr>
          </w:p>
          <w:p w14:paraId="686C13C4" w14:textId="77777777" w:rsidR="00220B9A" w:rsidRPr="005717E8" w:rsidRDefault="00220B9A" w:rsidP="000021C9">
            <w:pPr>
              <w:rPr>
                <w:rFonts w:ascii="Muli" w:hAnsi="Muli" w:cs="Segoe UI"/>
                <w:sz w:val="20"/>
                <w:szCs w:val="20"/>
              </w:rPr>
            </w:pPr>
          </w:p>
          <w:p w14:paraId="419E5B56" w14:textId="259A3A80" w:rsidR="00220B9A" w:rsidRPr="005717E8" w:rsidRDefault="00220B9A" w:rsidP="000021C9">
            <w:pPr>
              <w:rPr>
                <w:rFonts w:ascii="Muli" w:hAnsi="Muli" w:cs="Segoe UI"/>
                <w:sz w:val="20"/>
                <w:szCs w:val="20"/>
              </w:rPr>
            </w:pPr>
          </w:p>
        </w:tc>
      </w:tr>
    </w:tbl>
    <w:p w14:paraId="22C1FA07" w14:textId="77777777" w:rsidR="004E3094" w:rsidRDefault="004E3094">
      <w:r>
        <w:br w:type="page"/>
      </w: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0065"/>
      </w:tblGrid>
      <w:tr w:rsidR="003A506D" w:rsidRPr="005717E8" w14:paraId="6236294C" w14:textId="77777777" w:rsidTr="001137B7">
        <w:trPr>
          <w:trHeight w:val="397"/>
        </w:trPr>
        <w:tc>
          <w:tcPr>
            <w:tcW w:w="10065" w:type="dxa"/>
            <w:shd w:val="clear" w:color="auto" w:fill="F2F2F2" w:themeFill="background1" w:themeFillShade="F2"/>
            <w:vAlign w:val="center"/>
          </w:tcPr>
          <w:p w14:paraId="1C4D72B4" w14:textId="7A0812B1" w:rsidR="003A506D" w:rsidRPr="005717E8" w:rsidRDefault="004A429C" w:rsidP="00483E0C">
            <w:pPr>
              <w:rPr>
                <w:rFonts w:ascii="Muli" w:hAnsi="Muli" w:cs="Segoe UI"/>
                <w:sz w:val="20"/>
                <w:szCs w:val="20"/>
              </w:rPr>
            </w:pPr>
            <w:r w:rsidRPr="005717E8">
              <w:rPr>
                <w:rFonts w:ascii="Muli" w:hAnsi="Muli" w:cs="Segoe UI"/>
                <w:b/>
                <w:bCs/>
                <w:sz w:val="20"/>
                <w:szCs w:val="20"/>
              </w:rPr>
              <w:lastRenderedPageBreak/>
              <w:t>Outcome</w:t>
            </w:r>
          </w:p>
        </w:tc>
      </w:tr>
      <w:tr w:rsidR="004A429C" w:rsidRPr="005717E8" w14:paraId="5F882E69" w14:textId="77777777" w:rsidTr="001137B7">
        <w:trPr>
          <w:trHeight w:val="3763"/>
        </w:trPr>
        <w:tc>
          <w:tcPr>
            <w:tcW w:w="10065" w:type="dxa"/>
            <w:shd w:val="clear" w:color="auto" w:fill="auto"/>
            <w:vAlign w:val="center"/>
          </w:tcPr>
          <w:p w14:paraId="513EEBCD" w14:textId="2F8E514C" w:rsidR="002203A6" w:rsidRPr="005717E8" w:rsidRDefault="002203A6" w:rsidP="004A429C">
            <w:pPr>
              <w:rPr>
                <w:rFonts w:ascii="Muli" w:hAnsi="Muli" w:cs="Segoe UI"/>
                <w:sz w:val="20"/>
                <w:szCs w:val="20"/>
              </w:rPr>
            </w:pPr>
            <w:r w:rsidRPr="005717E8">
              <w:rPr>
                <w:rFonts w:ascii="Muli" w:hAnsi="Muli" w:cs="Segoe UI"/>
                <w:sz w:val="20"/>
                <w:szCs w:val="20"/>
              </w:rPr>
              <w:t>Select as appropriate:</w:t>
            </w:r>
          </w:p>
          <w:p w14:paraId="1673E18D" w14:textId="389112CA" w:rsidR="004A429C" w:rsidRPr="005717E8" w:rsidRDefault="004A429C" w:rsidP="004A429C">
            <w:pPr>
              <w:pStyle w:val="ListParagraph"/>
              <w:numPr>
                <w:ilvl w:val="0"/>
                <w:numId w:val="10"/>
              </w:numPr>
              <w:rPr>
                <w:rFonts w:ascii="Muli" w:hAnsi="Muli" w:cs="Segoe UI"/>
                <w:sz w:val="20"/>
                <w:szCs w:val="20"/>
              </w:rPr>
            </w:pPr>
            <w:r w:rsidRPr="005717E8">
              <w:rPr>
                <w:rFonts w:ascii="Muli" w:hAnsi="Muli" w:cs="Segoe UI"/>
                <w:sz w:val="20"/>
                <w:szCs w:val="20"/>
              </w:rPr>
              <w:t xml:space="preserve">Employee </w:t>
            </w:r>
            <w:r w:rsidR="00220B9A" w:rsidRPr="005717E8">
              <w:rPr>
                <w:rFonts w:ascii="Muli" w:hAnsi="Muli" w:cs="Segoe UI"/>
                <w:sz w:val="20"/>
                <w:szCs w:val="20"/>
              </w:rPr>
              <w:t xml:space="preserve">able </w:t>
            </w:r>
            <w:r w:rsidRPr="005717E8">
              <w:rPr>
                <w:rFonts w:ascii="Muli" w:hAnsi="Muli" w:cs="Segoe UI"/>
                <w:sz w:val="20"/>
                <w:szCs w:val="20"/>
              </w:rPr>
              <w:t xml:space="preserve">to continue </w:t>
            </w:r>
            <w:r w:rsidR="00220B9A" w:rsidRPr="005717E8">
              <w:rPr>
                <w:rFonts w:ascii="Muli" w:hAnsi="Muli" w:cs="Segoe UI"/>
                <w:sz w:val="20"/>
                <w:szCs w:val="20"/>
              </w:rPr>
              <w:t xml:space="preserve">at </w:t>
            </w:r>
            <w:r w:rsidRPr="005717E8">
              <w:rPr>
                <w:rFonts w:ascii="Muli" w:hAnsi="Muli" w:cs="Segoe UI"/>
                <w:sz w:val="20"/>
                <w:szCs w:val="20"/>
              </w:rPr>
              <w:t>work in current role with measures outlined above</w:t>
            </w:r>
            <w:r w:rsidR="002203A6" w:rsidRPr="005717E8">
              <w:rPr>
                <w:rFonts w:ascii="Muli" w:hAnsi="Muli" w:cs="Segoe UI"/>
                <w:sz w:val="20"/>
                <w:szCs w:val="20"/>
              </w:rPr>
              <w:t xml:space="preserve">                            </w:t>
            </w:r>
          </w:p>
          <w:p w14:paraId="4BB03516" w14:textId="20AE2B37"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Employee able to continue at work but in alternative role/duties as outlined above</w:t>
            </w:r>
          </w:p>
          <w:p w14:paraId="54BC9EFE" w14:textId="05348843"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In exceptional circumstances, agreement for the employee to work from home</w:t>
            </w:r>
          </w:p>
          <w:p w14:paraId="2B4F2833" w14:textId="0446A9BB"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Other – please specify here:</w:t>
            </w:r>
          </w:p>
          <w:p w14:paraId="234F804A" w14:textId="77777777" w:rsidR="002203A6" w:rsidRPr="005717E8" w:rsidRDefault="002203A6" w:rsidP="002203A6">
            <w:pPr>
              <w:pStyle w:val="ListParagraph"/>
              <w:rPr>
                <w:rFonts w:ascii="Muli" w:hAnsi="Muli" w:cs="Segoe UI"/>
                <w:sz w:val="20"/>
                <w:szCs w:val="20"/>
              </w:rPr>
            </w:pPr>
          </w:p>
          <w:p w14:paraId="25EA29BA" w14:textId="77777777" w:rsidR="002203A6" w:rsidRPr="005717E8" w:rsidRDefault="002203A6" w:rsidP="002203A6">
            <w:pPr>
              <w:pStyle w:val="ListParagraph"/>
              <w:rPr>
                <w:rFonts w:ascii="Muli" w:hAnsi="Muli" w:cs="Segoe UI"/>
                <w:sz w:val="20"/>
                <w:szCs w:val="20"/>
              </w:rPr>
            </w:pPr>
          </w:p>
          <w:p w14:paraId="73C962B2" w14:textId="3AE1E2B5" w:rsidR="004A429C" w:rsidRPr="005717E8" w:rsidRDefault="004A429C" w:rsidP="004A429C">
            <w:pPr>
              <w:rPr>
                <w:rFonts w:ascii="Muli" w:hAnsi="Muli" w:cs="Segoe UI"/>
                <w:sz w:val="20"/>
                <w:szCs w:val="20"/>
              </w:rPr>
            </w:pPr>
          </w:p>
          <w:p w14:paraId="603EAD38" w14:textId="5F770360" w:rsidR="004A429C" w:rsidRPr="005717E8" w:rsidRDefault="004A429C" w:rsidP="004A429C">
            <w:pPr>
              <w:rPr>
                <w:rFonts w:ascii="Muli" w:hAnsi="Muli" w:cs="Segoe UI"/>
                <w:sz w:val="20"/>
                <w:szCs w:val="20"/>
              </w:rPr>
            </w:pPr>
          </w:p>
        </w:tc>
      </w:tr>
    </w:tbl>
    <w:p w14:paraId="1483B1CE" w14:textId="1B48E383" w:rsidR="00452888" w:rsidRPr="005717E8" w:rsidRDefault="00452888" w:rsidP="00A41C0F">
      <w:pPr>
        <w:spacing w:after="0"/>
        <w:rPr>
          <w:rFonts w:ascii="Muli" w:hAnsi="Muli" w:cs="Segoe UI"/>
          <w:sz w:val="20"/>
          <w:szCs w:val="20"/>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7087"/>
      </w:tblGrid>
      <w:tr w:rsidR="00955D0C" w:rsidRPr="005717E8" w14:paraId="380626DF" w14:textId="77777777" w:rsidTr="00B144D9">
        <w:trPr>
          <w:trHeight w:val="334"/>
        </w:trPr>
        <w:tc>
          <w:tcPr>
            <w:tcW w:w="10206" w:type="dxa"/>
            <w:gridSpan w:val="2"/>
            <w:tcBorders>
              <w:bottom w:val="single" w:sz="4" w:space="0" w:color="BFBFBF" w:themeColor="background1" w:themeShade="BF"/>
            </w:tcBorders>
            <w:shd w:val="clear" w:color="auto" w:fill="BFBFBF" w:themeFill="background1" w:themeFillShade="BF"/>
            <w:vAlign w:val="center"/>
          </w:tcPr>
          <w:p w14:paraId="383DDAF8" w14:textId="4BAE955F" w:rsidR="00955D0C" w:rsidRPr="005717E8" w:rsidRDefault="00955D0C" w:rsidP="00270254">
            <w:pPr>
              <w:spacing w:line="276" w:lineRule="auto"/>
              <w:rPr>
                <w:rFonts w:ascii="Muli" w:hAnsi="Muli" w:cs="Segoe UI"/>
                <w:b/>
                <w:sz w:val="20"/>
                <w:szCs w:val="20"/>
              </w:rPr>
            </w:pPr>
            <w:r w:rsidRPr="005717E8">
              <w:rPr>
                <w:rFonts w:ascii="Muli" w:hAnsi="Muli" w:cs="Segoe UI"/>
                <w:b/>
                <w:sz w:val="20"/>
                <w:szCs w:val="20"/>
              </w:rPr>
              <w:t>Declaration of Understanding</w:t>
            </w:r>
          </w:p>
        </w:tc>
      </w:tr>
      <w:tr w:rsidR="00955D0C" w:rsidRPr="005717E8" w14:paraId="06209D8B" w14:textId="77777777" w:rsidTr="00B144D9">
        <w:trPr>
          <w:trHeight w:val="526"/>
        </w:trPr>
        <w:tc>
          <w:tcPr>
            <w:tcW w:w="10206" w:type="dxa"/>
            <w:gridSpan w:val="2"/>
            <w:tcBorders>
              <w:bottom w:val="single" w:sz="24" w:space="0" w:color="BFBFBF" w:themeColor="background1" w:themeShade="BF"/>
            </w:tcBorders>
            <w:shd w:val="clear" w:color="auto" w:fill="F2F2F2" w:themeFill="background1" w:themeFillShade="F2"/>
            <w:vAlign w:val="center"/>
          </w:tcPr>
          <w:p w14:paraId="49DEDF12" w14:textId="6615D153"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I can confirm that any information contained in this risk assessment is reflective of the conversation held and agreement reached:</w:t>
            </w:r>
          </w:p>
        </w:tc>
      </w:tr>
      <w:tr w:rsidR="00955D0C" w:rsidRPr="005717E8" w14:paraId="1D6CEDC9" w14:textId="70551921"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4184C456" w14:textId="5D2A1D5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Line Manager’s Name (Print Name)</w:t>
            </w:r>
          </w:p>
        </w:tc>
        <w:tc>
          <w:tcPr>
            <w:tcW w:w="7087" w:type="dxa"/>
            <w:tcBorders>
              <w:top w:val="single" w:sz="24" w:space="0" w:color="BFBFBF" w:themeColor="background1" w:themeShade="BF"/>
            </w:tcBorders>
            <w:shd w:val="clear" w:color="auto" w:fill="FFFFFF" w:themeFill="background1"/>
            <w:vAlign w:val="center"/>
          </w:tcPr>
          <w:p w14:paraId="0BB1EE78"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7591319C" w14:textId="77777777" w:rsidTr="00B144D9">
        <w:trPr>
          <w:trHeight w:val="510"/>
        </w:trPr>
        <w:tc>
          <w:tcPr>
            <w:tcW w:w="3119" w:type="dxa"/>
            <w:shd w:val="clear" w:color="auto" w:fill="F2F2F2" w:themeFill="background1" w:themeFillShade="F2"/>
            <w:vAlign w:val="center"/>
          </w:tcPr>
          <w:p w14:paraId="0D8FAE8A" w14:textId="1CAA334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shd w:val="clear" w:color="auto" w:fill="FFFFFF" w:themeFill="background1"/>
            <w:vAlign w:val="center"/>
          </w:tcPr>
          <w:p w14:paraId="5C279522"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0D3ED163" w14:textId="77777777" w:rsidTr="00B144D9">
        <w:trPr>
          <w:trHeight w:val="510"/>
        </w:trPr>
        <w:tc>
          <w:tcPr>
            <w:tcW w:w="3119" w:type="dxa"/>
            <w:tcBorders>
              <w:bottom w:val="single" w:sz="24" w:space="0" w:color="BFBFBF" w:themeColor="background1" w:themeShade="BF"/>
            </w:tcBorders>
            <w:shd w:val="clear" w:color="auto" w:fill="F2F2F2" w:themeFill="background1" w:themeFillShade="F2"/>
            <w:vAlign w:val="center"/>
          </w:tcPr>
          <w:p w14:paraId="516B15E1" w14:textId="68E4519A"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tcBorders>
              <w:bottom w:val="single" w:sz="24" w:space="0" w:color="BFBFBF" w:themeColor="background1" w:themeShade="BF"/>
            </w:tcBorders>
            <w:shd w:val="clear" w:color="auto" w:fill="FFFFFF" w:themeFill="background1"/>
            <w:vAlign w:val="center"/>
          </w:tcPr>
          <w:p w14:paraId="1433408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15559944" w14:textId="77777777"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7EF81D79" w14:textId="4FE17A08" w:rsidR="00955D0C" w:rsidRPr="005717E8" w:rsidRDefault="00220B9A" w:rsidP="00955D0C">
            <w:pPr>
              <w:spacing w:line="276" w:lineRule="auto"/>
              <w:ind w:right="33"/>
              <w:rPr>
                <w:rFonts w:ascii="Muli" w:hAnsi="Muli" w:cs="Segoe UI"/>
                <w:bCs/>
                <w:sz w:val="20"/>
                <w:szCs w:val="20"/>
              </w:rPr>
            </w:pPr>
            <w:r w:rsidRPr="005717E8">
              <w:rPr>
                <w:rFonts w:ascii="Muli" w:hAnsi="Muli" w:cs="Segoe UI"/>
                <w:bCs/>
                <w:sz w:val="20"/>
                <w:szCs w:val="20"/>
              </w:rPr>
              <w:t>Employees</w:t>
            </w:r>
            <w:r w:rsidR="00955D0C" w:rsidRPr="005717E8">
              <w:rPr>
                <w:rFonts w:ascii="Muli" w:hAnsi="Muli" w:cs="Segoe UI"/>
                <w:bCs/>
                <w:sz w:val="20"/>
                <w:szCs w:val="20"/>
              </w:rPr>
              <w:t xml:space="preserve"> Name (Print Name)</w:t>
            </w:r>
          </w:p>
        </w:tc>
        <w:tc>
          <w:tcPr>
            <w:tcW w:w="7087" w:type="dxa"/>
            <w:tcBorders>
              <w:top w:val="single" w:sz="24" w:space="0" w:color="BFBFBF" w:themeColor="background1" w:themeShade="BF"/>
            </w:tcBorders>
            <w:shd w:val="clear" w:color="auto" w:fill="FFFFFF" w:themeFill="background1"/>
            <w:vAlign w:val="center"/>
          </w:tcPr>
          <w:p w14:paraId="0F8FA911"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565A4DD4" w14:textId="77777777" w:rsidTr="00B144D9">
        <w:trPr>
          <w:trHeight w:val="510"/>
        </w:trPr>
        <w:tc>
          <w:tcPr>
            <w:tcW w:w="3119" w:type="dxa"/>
            <w:shd w:val="clear" w:color="auto" w:fill="F2F2F2" w:themeFill="background1" w:themeFillShade="F2"/>
            <w:vAlign w:val="center"/>
          </w:tcPr>
          <w:p w14:paraId="3DD14C0B" w14:textId="3E0BAA08"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shd w:val="clear" w:color="auto" w:fill="FFFFFF" w:themeFill="background1"/>
            <w:vAlign w:val="center"/>
          </w:tcPr>
          <w:p w14:paraId="215F0BF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45B97F66" w14:textId="77777777" w:rsidTr="00B144D9">
        <w:trPr>
          <w:trHeight w:val="510"/>
        </w:trPr>
        <w:tc>
          <w:tcPr>
            <w:tcW w:w="3119" w:type="dxa"/>
            <w:shd w:val="clear" w:color="auto" w:fill="F2F2F2" w:themeFill="background1" w:themeFillShade="F2"/>
            <w:vAlign w:val="center"/>
          </w:tcPr>
          <w:p w14:paraId="1BBAC82F" w14:textId="211F20FC"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shd w:val="clear" w:color="auto" w:fill="FFFFFF" w:themeFill="background1"/>
            <w:vAlign w:val="center"/>
          </w:tcPr>
          <w:p w14:paraId="679E79F4" w14:textId="77777777" w:rsidR="00955D0C" w:rsidRPr="005717E8" w:rsidRDefault="00955D0C" w:rsidP="00955D0C">
            <w:pPr>
              <w:spacing w:line="276" w:lineRule="auto"/>
              <w:ind w:right="33"/>
              <w:rPr>
                <w:rFonts w:ascii="Muli" w:hAnsi="Muli" w:cs="Segoe UI"/>
                <w:bCs/>
                <w:sz w:val="20"/>
                <w:szCs w:val="20"/>
              </w:rPr>
            </w:pPr>
          </w:p>
        </w:tc>
      </w:tr>
    </w:tbl>
    <w:p w14:paraId="4BCDFBB3" w14:textId="09F58008" w:rsidR="00955D0C" w:rsidRDefault="00955D0C" w:rsidP="00A41C0F">
      <w:pPr>
        <w:spacing w:after="0"/>
        <w:rPr>
          <w:rFonts w:ascii="Muli" w:hAnsi="Muli" w:cs="Segoe UI"/>
          <w:sz w:val="20"/>
          <w:szCs w:val="20"/>
        </w:rPr>
      </w:pPr>
    </w:p>
    <w:p w14:paraId="2A3D5A65" w14:textId="0EC1A3F8" w:rsidR="005717E8" w:rsidRDefault="005717E8" w:rsidP="00A41C0F">
      <w:pPr>
        <w:spacing w:after="0"/>
        <w:rPr>
          <w:rFonts w:ascii="Muli" w:hAnsi="Muli" w:cs="Segoe UI"/>
          <w:sz w:val="20"/>
          <w:szCs w:val="20"/>
        </w:rPr>
      </w:pPr>
    </w:p>
    <w:p w14:paraId="35BC1B50" w14:textId="7D1A821C" w:rsidR="005717E8" w:rsidRPr="005717E8" w:rsidRDefault="005717E8" w:rsidP="00A41C0F">
      <w:pPr>
        <w:spacing w:after="0"/>
        <w:rPr>
          <w:rFonts w:ascii="Muli" w:hAnsi="Muli" w:cs="Segoe UI"/>
          <w:b/>
          <w:bCs/>
          <w:sz w:val="24"/>
          <w:szCs w:val="24"/>
        </w:rPr>
      </w:pPr>
      <w:r w:rsidRPr="005717E8">
        <w:rPr>
          <w:rFonts w:ascii="Muli" w:hAnsi="Muli" w:cs="Segoe UI"/>
          <w:b/>
          <w:bCs/>
          <w:sz w:val="24"/>
          <w:szCs w:val="24"/>
        </w:rPr>
        <w:t>This risk assessment should be kept under review and revisited in the event of changing government guidance or the employee’s personal circumstances.</w:t>
      </w:r>
    </w:p>
    <w:sectPr w:rsidR="005717E8" w:rsidRPr="005717E8" w:rsidSect="008C3918">
      <w:headerReference w:type="default" r:id="rId9"/>
      <w:footerReference w:type="default" r:id="rId10"/>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3A41D" w14:textId="77777777" w:rsidR="00F56363" w:rsidRDefault="00F56363" w:rsidP="00313047">
      <w:pPr>
        <w:spacing w:after="0" w:line="240" w:lineRule="auto"/>
      </w:pPr>
      <w:r>
        <w:separator/>
      </w:r>
    </w:p>
  </w:endnote>
  <w:endnote w:type="continuationSeparator" w:id="0">
    <w:p w14:paraId="1143C0F5" w14:textId="77777777" w:rsidR="00F56363" w:rsidRDefault="00F56363"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uli">
    <w:altName w:val="Corbel"/>
    <w:panose1 w:val="02000503040000020004"/>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uli" w:hAnsi="Muli"/>
      </w:rPr>
      <w:id w:val="1248694091"/>
      <w:docPartObj>
        <w:docPartGallery w:val="Page Numbers (Bottom of Page)"/>
        <w:docPartUnique/>
      </w:docPartObj>
    </w:sdtPr>
    <w:sdtEndPr>
      <w:rPr>
        <w:noProof/>
      </w:rPr>
    </w:sdtEndPr>
    <w:sdtContent>
      <w:p w14:paraId="13E0780E" w14:textId="19BF9692" w:rsidR="005717E8" w:rsidRPr="005717E8" w:rsidRDefault="00D53DB6">
        <w:pPr>
          <w:pStyle w:val="Footer"/>
          <w:jc w:val="right"/>
          <w:rPr>
            <w:rFonts w:ascii="Muli" w:hAnsi="Muli"/>
          </w:rPr>
        </w:pPr>
        <w:r>
          <w:rPr>
            <w:rFonts w:ascii="Muli" w:hAnsi="Muli"/>
          </w:rPr>
          <w:t>06/01/2021</w:t>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fldChar w:fldCharType="begin"/>
        </w:r>
        <w:r w:rsidR="005717E8" w:rsidRPr="005717E8">
          <w:rPr>
            <w:rFonts w:ascii="Muli" w:hAnsi="Muli"/>
          </w:rPr>
          <w:instrText xml:space="preserve"> PAGE   \* MERGEFORMAT </w:instrText>
        </w:r>
        <w:r w:rsidR="005717E8" w:rsidRPr="005717E8">
          <w:rPr>
            <w:rFonts w:ascii="Muli" w:hAnsi="Muli"/>
          </w:rPr>
          <w:fldChar w:fldCharType="separate"/>
        </w:r>
        <w:r w:rsidR="005717E8" w:rsidRPr="005717E8">
          <w:rPr>
            <w:rFonts w:ascii="Muli" w:hAnsi="Muli"/>
            <w:noProof/>
          </w:rPr>
          <w:t>2</w:t>
        </w:r>
        <w:r w:rsidR="005717E8" w:rsidRPr="005717E8">
          <w:rPr>
            <w:rFonts w:ascii="Muli" w:hAnsi="Muli"/>
            <w:noProof/>
          </w:rPr>
          <w:fldChar w:fldCharType="end"/>
        </w:r>
      </w:p>
    </w:sdtContent>
  </w:sdt>
  <w:p w14:paraId="403C61F4" w14:textId="611C406D" w:rsidR="005717E8" w:rsidRPr="005717E8" w:rsidRDefault="005717E8">
    <w:pPr>
      <w:pStyle w:val="Footer"/>
      <w:rPr>
        <w:rFonts w:ascii="Muli" w:hAnsi="Mul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4DE7" w14:textId="77777777" w:rsidR="00F56363" w:rsidRDefault="00F56363" w:rsidP="00313047">
      <w:pPr>
        <w:spacing w:after="0" w:line="240" w:lineRule="auto"/>
      </w:pPr>
      <w:r>
        <w:separator/>
      </w:r>
    </w:p>
  </w:footnote>
  <w:footnote w:type="continuationSeparator" w:id="0">
    <w:p w14:paraId="0A057B44" w14:textId="77777777" w:rsidR="00F56363" w:rsidRDefault="00F56363" w:rsidP="0031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3DA6" w14:textId="4649D983" w:rsidR="00490259" w:rsidRDefault="00490259">
    <w:pPr>
      <w:pStyle w:val="Header"/>
    </w:pPr>
    <w:r w:rsidRPr="00490259">
      <w:rPr>
        <w:rFonts w:ascii="Muli" w:hAnsi="Muli"/>
        <w:noProof/>
      </w:rPr>
      <w:drawing>
        <wp:inline distT="0" distB="0" distL="0" distR="0" wp14:anchorId="1A2A61AA" wp14:editId="13D02F02">
          <wp:extent cx="6263640" cy="5029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 w15:restartNumberingAfterBreak="0">
    <w:nsid w:val="06691121"/>
    <w:multiLevelType w:val="hybridMultilevel"/>
    <w:tmpl w:val="A82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8331E"/>
    <w:multiLevelType w:val="hybridMultilevel"/>
    <w:tmpl w:val="7D34A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6" w15:restartNumberingAfterBreak="0">
    <w:nsid w:val="36BD3F82"/>
    <w:multiLevelType w:val="hybridMultilevel"/>
    <w:tmpl w:val="F9A4BB58"/>
    <w:lvl w:ilvl="0" w:tplc="BB4E3D76">
      <w:start w:val="8"/>
      <w:numFmt w:val="bullet"/>
      <w:lvlText w:val="□"/>
      <w:lvlJc w:val="left"/>
      <w:pPr>
        <w:ind w:left="720" w:hanging="360"/>
      </w:pPr>
      <w:rPr>
        <w:rFonts w:ascii="Muli" w:eastAsiaTheme="minorHAnsi" w:hAnsi="Muli"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208D4"/>
    <w:multiLevelType w:val="hybridMultilevel"/>
    <w:tmpl w:val="B5D66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8"/>
  </w:num>
  <w:num w:numId="5">
    <w:abstractNumId w:val="5"/>
  </w:num>
  <w:num w:numId="6">
    <w:abstractNumId w:val="1"/>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F"/>
    <w:rsid w:val="00034EB6"/>
    <w:rsid w:val="00092132"/>
    <w:rsid w:val="000C6250"/>
    <w:rsid w:val="0010691D"/>
    <w:rsid w:val="001137B7"/>
    <w:rsid w:val="001536FF"/>
    <w:rsid w:val="001659ED"/>
    <w:rsid w:val="00174D50"/>
    <w:rsid w:val="001A072E"/>
    <w:rsid w:val="001D0EE0"/>
    <w:rsid w:val="002118A0"/>
    <w:rsid w:val="002178CC"/>
    <w:rsid w:val="002203A6"/>
    <w:rsid w:val="00220B9A"/>
    <w:rsid w:val="0024288E"/>
    <w:rsid w:val="00262070"/>
    <w:rsid w:val="002A4CB2"/>
    <w:rsid w:val="002B5F9A"/>
    <w:rsid w:val="002F0A0D"/>
    <w:rsid w:val="002F62C4"/>
    <w:rsid w:val="00313047"/>
    <w:rsid w:val="00327590"/>
    <w:rsid w:val="00361CD2"/>
    <w:rsid w:val="003A506D"/>
    <w:rsid w:val="003B5F16"/>
    <w:rsid w:val="003D1BB8"/>
    <w:rsid w:val="004035B0"/>
    <w:rsid w:val="00452888"/>
    <w:rsid w:val="00477D47"/>
    <w:rsid w:val="00490259"/>
    <w:rsid w:val="004A429C"/>
    <w:rsid w:val="004C219F"/>
    <w:rsid w:val="004E3094"/>
    <w:rsid w:val="004F20A4"/>
    <w:rsid w:val="00502EAA"/>
    <w:rsid w:val="00522819"/>
    <w:rsid w:val="005437CA"/>
    <w:rsid w:val="005717E8"/>
    <w:rsid w:val="00583F41"/>
    <w:rsid w:val="005950EB"/>
    <w:rsid w:val="00596BC6"/>
    <w:rsid w:val="005E2FF9"/>
    <w:rsid w:val="005E52A1"/>
    <w:rsid w:val="005F4F5F"/>
    <w:rsid w:val="00606396"/>
    <w:rsid w:val="00636DBD"/>
    <w:rsid w:val="00651BF2"/>
    <w:rsid w:val="006923B2"/>
    <w:rsid w:val="006A5A34"/>
    <w:rsid w:val="00744BEE"/>
    <w:rsid w:val="007B667D"/>
    <w:rsid w:val="008109E1"/>
    <w:rsid w:val="00854228"/>
    <w:rsid w:val="008901FF"/>
    <w:rsid w:val="008A4060"/>
    <w:rsid w:val="008A5717"/>
    <w:rsid w:val="008C3918"/>
    <w:rsid w:val="00955D0C"/>
    <w:rsid w:val="009C311A"/>
    <w:rsid w:val="00A41C0F"/>
    <w:rsid w:val="00B144D9"/>
    <w:rsid w:val="00B24896"/>
    <w:rsid w:val="00B30D44"/>
    <w:rsid w:val="00BA1822"/>
    <w:rsid w:val="00BF336A"/>
    <w:rsid w:val="00CC0A57"/>
    <w:rsid w:val="00CF0788"/>
    <w:rsid w:val="00CF181D"/>
    <w:rsid w:val="00D53DB6"/>
    <w:rsid w:val="00D91030"/>
    <w:rsid w:val="00DA5AA4"/>
    <w:rsid w:val="00DB48B2"/>
    <w:rsid w:val="00DE2BDB"/>
    <w:rsid w:val="00DF503D"/>
    <w:rsid w:val="00E27A53"/>
    <w:rsid w:val="00E32166"/>
    <w:rsid w:val="00E42FF5"/>
    <w:rsid w:val="00E87A92"/>
    <w:rsid w:val="00E91D3A"/>
    <w:rsid w:val="00EA4FFB"/>
    <w:rsid w:val="00ED03D2"/>
    <w:rsid w:val="00ED3AB9"/>
    <w:rsid w:val="00ED5909"/>
    <w:rsid w:val="00EE28DC"/>
    <w:rsid w:val="00F51706"/>
    <w:rsid w:val="00F56363"/>
    <w:rsid w:val="00F85FA7"/>
    <w:rsid w:val="00FB400A"/>
    <w:rsid w:val="00FC3F6F"/>
    <w:rsid w:val="00FD270E"/>
    <w:rsid w:val="00FD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28FA2E"/>
  <w15:docId w15:val="{7D2B994A-2C42-46DF-9299-FC57D799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styleId="FollowedHyperlink">
    <w:name w:val="FollowedHyperlink"/>
    <w:basedOn w:val="DefaultParagraphFont"/>
    <w:uiPriority w:val="99"/>
    <w:semiHidden/>
    <w:unhideWhenUsed/>
    <w:rsid w:val="00595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 Type="http://schemas.openxmlformats.org/officeDocument/2006/relationships/settings" Target="settings.xml"/><Relationship Id="rId7" Type="http://schemas.openxmlformats.org/officeDocument/2006/relationships/hyperlink" Target="https://www.gov.uk/guidance/new-national-restrictions-from-5-novemb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Hough</dc:creator>
  <cp:lastModifiedBy>J Davis</cp:lastModifiedBy>
  <cp:revision>7</cp:revision>
  <cp:lastPrinted>2020-04-02T10:41:00Z</cp:lastPrinted>
  <dcterms:created xsi:type="dcterms:W3CDTF">2021-01-06T08:50:00Z</dcterms:created>
  <dcterms:modified xsi:type="dcterms:W3CDTF">2021-01-06T16:30:00Z</dcterms:modified>
</cp:coreProperties>
</file>